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b/>
          <w:bCs/>
          <w:sz w:val="24"/>
          <w:szCs w:val="24"/>
          <w:lang w:eastAsia="ru-RU"/>
        </w:rPr>
        <w:t>УДК: 371.142</w:t>
      </w:r>
    </w:p>
    <w:p w:rsidR="0060795E" w:rsidRPr="0060795E" w:rsidRDefault="0060795E" w:rsidP="0060795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b/>
          <w:bCs/>
          <w:sz w:val="24"/>
          <w:szCs w:val="24"/>
          <w:lang w:eastAsia="ru-RU"/>
        </w:rPr>
        <w:t>Буренко</w:t>
      </w:r>
      <w:proofErr w:type="spellEnd"/>
      <w:r w:rsidRPr="0060795E">
        <w:rPr>
          <w:rFonts w:eastAsia="Times New Roman"/>
          <w:b/>
          <w:bCs/>
          <w:sz w:val="24"/>
          <w:szCs w:val="24"/>
          <w:lang w:eastAsia="ru-RU"/>
        </w:rPr>
        <w:t xml:space="preserve"> В.М.</w:t>
      </w:r>
    </w:p>
    <w:p w:rsidR="0060795E" w:rsidRPr="0060795E" w:rsidRDefault="0060795E" w:rsidP="0060795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завідувач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кафедри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методики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мов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ітератури</w:t>
      </w:r>
      <w:proofErr w:type="spellEnd"/>
    </w:p>
    <w:p w:rsidR="0060795E" w:rsidRPr="0060795E" w:rsidRDefault="0060795E" w:rsidP="0060795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ІППО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Київського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університету</w:t>
      </w:r>
      <w:proofErr w:type="spellEnd"/>
    </w:p>
    <w:p w:rsidR="0060795E" w:rsidRPr="0060795E" w:rsidRDefault="0060795E" w:rsidP="0060795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імені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Бориса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Грінченка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канд.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пед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 наук, доцент</w:t>
      </w:r>
      <w:r w:rsidRPr="0060795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60795E" w:rsidRPr="0060795E" w:rsidRDefault="0060795E" w:rsidP="0060795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b/>
          <w:bCs/>
          <w:sz w:val="24"/>
          <w:szCs w:val="24"/>
          <w:lang w:eastAsia="ru-RU"/>
        </w:rPr>
        <w:t xml:space="preserve">ПОКРОКОВЕ НАВЧАННЯ </w:t>
      </w:r>
      <w:proofErr w:type="gramStart"/>
      <w:r w:rsidRPr="0060795E">
        <w:rPr>
          <w:rFonts w:eastAsia="Times New Roman"/>
          <w:b/>
          <w:bCs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b/>
          <w:bCs/>
          <w:sz w:val="24"/>
          <w:szCs w:val="24"/>
          <w:lang w:eastAsia="ru-RU"/>
        </w:rPr>
        <w:t>ІДНИЦЬКОЇ ДІЯЛЬНОСТІ В СИСТЕМІ ПІСЛЯДИПЛОМНОЇ ПЕДАГОГІЧНОЇ ОСВІТИ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b/>
          <w:bCs/>
          <w:sz w:val="24"/>
          <w:szCs w:val="24"/>
          <w:lang w:eastAsia="ru-RU"/>
        </w:rPr>
        <w:t>Анотація</w:t>
      </w:r>
      <w:proofErr w:type="spellEnd"/>
      <w:r w:rsidRPr="0060795E">
        <w:rPr>
          <w:rFonts w:eastAsia="Times New Roman"/>
          <w:b/>
          <w:bCs/>
          <w:sz w:val="24"/>
          <w:szCs w:val="24"/>
          <w:lang w:eastAsia="ru-RU"/>
        </w:rPr>
        <w:t xml:space="preserve">: </w:t>
      </w:r>
      <w:r w:rsidRPr="0060795E">
        <w:rPr>
          <w:rFonts w:eastAsia="Times New Roman"/>
          <w:sz w:val="24"/>
          <w:szCs w:val="24"/>
          <w:lang w:eastAsia="ru-RU"/>
        </w:rPr>
        <w:t xml:space="preserve">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статті</w:t>
      </w:r>
      <w:proofErr w:type="spellEnd"/>
      <w:r w:rsidRPr="0060795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розглянуто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основні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положення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ідницької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вчителів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системі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післядипломної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обґрунтовано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значущість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наведено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конкретну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програму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навчально-дослідницького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практикуму для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вчителів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Default="0060795E" w:rsidP="0060795E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  <w:lang w:val="uk-UA" w:eastAsia="ru-RU"/>
        </w:rPr>
      </w:pPr>
      <w:proofErr w:type="spellStart"/>
      <w:r w:rsidRPr="0060795E">
        <w:rPr>
          <w:rFonts w:eastAsia="Times New Roman"/>
          <w:b/>
          <w:bCs/>
          <w:sz w:val="24"/>
          <w:szCs w:val="24"/>
          <w:lang w:eastAsia="ru-RU"/>
        </w:rPr>
        <w:t>Ключові</w:t>
      </w:r>
      <w:proofErr w:type="spellEnd"/>
      <w:r w:rsidRPr="0060795E">
        <w:rPr>
          <w:rFonts w:eastAsia="Times New Roman"/>
          <w:b/>
          <w:bCs/>
          <w:sz w:val="24"/>
          <w:szCs w:val="24"/>
          <w:lang w:eastAsia="ru-RU"/>
        </w:rPr>
        <w:t xml:space="preserve"> слова:</w:t>
      </w:r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i/>
          <w:iCs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i/>
          <w:iCs/>
          <w:sz w:val="24"/>
          <w:szCs w:val="24"/>
          <w:lang w:eastAsia="ru-RU"/>
        </w:rPr>
        <w:t>ідницька</w:t>
      </w:r>
      <w:proofErr w:type="spellEnd"/>
      <w:r w:rsidRPr="0060795E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i/>
          <w:iCs/>
          <w:sz w:val="24"/>
          <w:szCs w:val="24"/>
          <w:lang w:eastAsia="ru-RU"/>
        </w:rPr>
        <w:t>діяльність</w:t>
      </w:r>
      <w:proofErr w:type="spellEnd"/>
      <w:r w:rsidRPr="0060795E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i/>
          <w:iCs/>
          <w:sz w:val="24"/>
          <w:szCs w:val="24"/>
          <w:lang w:eastAsia="ru-RU"/>
        </w:rPr>
        <w:t>аспекти</w:t>
      </w:r>
      <w:proofErr w:type="spellEnd"/>
      <w:r w:rsidRPr="0060795E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i/>
          <w:iCs/>
          <w:sz w:val="24"/>
          <w:szCs w:val="24"/>
          <w:lang w:eastAsia="ru-RU"/>
        </w:rPr>
        <w:t>творчої</w:t>
      </w:r>
      <w:proofErr w:type="spellEnd"/>
      <w:r w:rsidRPr="0060795E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i/>
          <w:iCs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i/>
          <w:iCs/>
          <w:sz w:val="24"/>
          <w:szCs w:val="24"/>
          <w:lang w:eastAsia="ru-RU"/>
        </w:rPr>
        <w:t>навчально-дослідницький</w:t>
      </w:r>
      <w:proofErr w:type="spellEnd"/>
      <w:r w:rsidRPr="0060795E">
        <w:rPr>
          <w:rFonts w:eastAsia="Times New Roman"/>
          <w:i/>
          <w:iCs/>
          <w:sz w:val="24"/>
          <w:szCs w:val="24"/>
          <w:lang w:eastAsia="ru-RU"/>
        </w:rPr>
        <w:t xml:space="preserve"> практикум.</w:t>
      </w:r>
    </w:p>
    <w:p w:rsidR="0060795E" w:rsidRPr="0060795E" w:rsidRDefault="0060795E" w:rsidP="0060795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b/>
          <w:bCs/>
          <w:sz w:val="24"/>
          <w:szCs w:val="24"/>
          <w:lang w:eastAsia="ru-RU"/>
        </w:rPr>
        <w:t>Пошаговое обучение исследовательской деятельности в системе последипломного педагогического образования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b/>
          <w:bCs/>
          <w:sz w:val="24"/>
          <w:szCs w:val="24"/>
          <w:lang w:eastAsia="ru-RU"/>
        </w:rPr>
        <w:t>Аннотация:</w:t>
      </w:r>
      <w:r w:rsidRPr="0060795E">
        <w:rPr>
          <w:rFonts w:eastAsia="Times New Roman"/>
          <w:sz w:val="24"/>
          <w:szCs w:val="24"/>
          <w:lang w:eastAsia="ru-RU"/>
        </w:rPr>
        <w:t xml:space="preserve"> в статье рассматриваются основные положения обучения исследовательской деятельности учителей в системе последипломного образования, доказана значимость этого процесса и приведена конкретная программа учебно-исследовательского практикума для учителей.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b/>
          <w:bCs/>
          <w:sz w:val="24"/>
          <w:szCs w:val="24"/>
          <w:lang w:eastAsia="ru-RU"/>
        </w:rPr>
        <w:t>Ключевые слова:</w:t>
      </w:r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r w:rsidRPr="0060795E">
        <w:rPr>
          <w:rFonts w:eastAsia="Times New Roman"/>
          <w:i/>
          <w:iCs/>
          <w:sz w:val="24"/>
          <w:szCs w:val="24"/>
          <w:lang w:eastAsia="ru-RU"/>
        </w:rPr>
        <w:t>исследовательская деятельность, аспекты творческой деятельности, учебно-исследовательский практикум.</w:t>
      </w:r>
    </w:p>
    <w:p w:rsidR="0060795E" w:rsidRPr="0060795E" w:rsidRDefault="0060795E" w:rsidP="0060795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en-US" w:eastAsia="ru-RU"/>
        </w:rPr>
      </w:pPr>
      <w:r w:rsidRPr="0060795E">
        <w:rPr>
          <w:rFonts w:eastAsia="Times New Roman"/>
          <w:b/>
          <w:bCs/>
          <w:sz w:val="24"/>
          <w:szCs w:val="24"/>
          <w:lang w:val="en-US" w:eastAsia="ru-RU"/>
        </w:rPr>
        <w:t>Research work lead-through teaching in the course of In-service teacher training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val="en-US" w:eastAsia="ru-RU"/>
        </w:rPr>
      </w:pPr>
      <w:r w:rsidRPr="0060795E">
        <w:rPr>
          <w:rFonts w:eastAsia="Times New Roman"/>
          <w:b/>
          <w:bCs/>
          <w:sz w:val="24"/>
          <w:szCs w:val="24"/>
          <w:lang w:val="en-US" w:eastAsia="ru-RU"/>
        </w:rPr>
        <w:t>Summary:</w:t>
      </w:r>
      <w:r w:rsidRPr="0060795E">
        <w:rPr>
          <w:rFonts w:eastAsia="Times New Roman"/>
          <w:sz w:val="24"/>
          <w:szCs w:val="24"/>
          <w:lang w:val="en-US" w:eastAsia="ru-RU"/>
        </w:rPr>
        <w:t xml:space="preserve"> the article deals with the basics of teacher’s research work teaching in the course of in-service teacher training; it proves the importance of this process and includes specific </w:t>
      </w:r>
      <w:proofErr w:type="spellStart"/>
      <w:r w:rsidRPr="0060795E">
        <w:rPr>
          <w:rFonts w:eastAsia="Times New Roman"/>
          <w:sz w:val="24"/>
          <w:szCs w:val="24"/>
          <w:lang w:val="en-US" w:eastAsia="ru-RU"/>
        </w:rPr>
        <w:t>programme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of research practical training for teachers.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val="en-US" w:eastAsia="ru-RU"/>
        </w:rPr>
      </w:pPr>
      <w:r w:rsidRPr="0060795E">
        <w:rPr>
          <w:rFonts w:eastAsia="Times New Roman"/>
          <w:b/>
          <w:bCs/>
          <w:sz w:val="24"/>
          <w:szCs w:val="24"/>
          <w:lang w:val="en-US" w:eastAsia="ru-RU"/>
        </w:rPr>
        <w:t>Key words:</w:t>
      </w:r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r w:rsidRPr="0060795E">
        <w:rPr>
          <w:rFonts w:eastAsia="Times New Roman"/>
          <w:i/>
          <w:iCs/>
          <w:sz w:val="24"/>
          <w:szCs w:val="24"/>
          <w:lang w:val="en-US" w:eastAsia="ru-RU"/>
        </w:rPr>
        <w:t>research work, the aspects of creative activity, research practical training.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Українська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r w:rsidRPr="0060795E">
        <w:rPr>
          <w:rFonts w:eastAsia="Times New Roman"/>
          <w:sz w:val="24"/>
          <w:szCs w:val="24"/>
          <w:lang w:eastAsia="ru-RU"/>
        </w:rPr>
        <w:t>система</w:t>
      </w:r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60795E">
        <w:rPr>
          <w:rFonts w:eastAsia="Times New Roman"/>
          <w:sz w:val="24"/>
          <w:szCs w:val="24"/>
          <w:lang w:eastAsia="ru-RU"/>
        </w:rPr>
        <w:t>у</w:t>
      </w:r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r w:rsidRPr="0060795E">
        <w:rPr>
          <w:rFonts w:eastAsia="Times New Roman"/>
          <w:sz w:val="24"/>
          <w:szCs w:val="24"/>
          <w:lang w:eastAsia="ru-RU"/>
        </w:rPr>
        <w:t>тому</w:t>
      </w:r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числі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така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складова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60795E">
        <w:rPr>
          <w:rFonts w:eastAsia="Times New Roman"/>
          <w:sz w:val="24"/>
          <w:szCs w:val="24"/>
          <w:lang w:eastAsia="ru-RU"/>
        </w:rPr>
        <w:t>як</w:t>
      </w:r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іслядипломна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педагогічна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освіта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чітко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спрямована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r w:rsidRPr="0060795E">
        <w:rPr>
          <w:rFonts w:eastAsia="Times New Roman"/>
          <w:sz w:val="24"/>
          <w:szCs w:val="24"/>
          <w:lang w:eastAsia="ru-RU"/>
        </w:rPr>
        <w:t>на</w:t>
      </w:r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освітній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науковий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простір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Європи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підтверджується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приєднанням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r w:rsidRPr="0060795E">
        <w:rPr>
          <w:rFonts w:eastAsia="Times New Roman"/>
          <w:sz w:val="24"/>
          <w:szCs w:val="24"/>
          <w:lang w:eastAsia="ru-RU"/>
        </w:rPr>
        <w:t>до</w:t>
      </w:r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Болонської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системи</w:t>
      </w:r>
      <w:proofErr w:type="spellEnd"/>
      <w:r w:rsidRPr="0060795E">
        <w:rPr>
          <w:rFonts w:eastAsia="Times New Roman"/>
          <w:sz w:val="24"/>
          <w:szCs w:val="24"/>
          <w:lang w:val="en-US" w:eastAsia="ru-RU"/>
        </w:rPr>
        <w:t xml:space="preserve">. </w:t>
      </w:r>
      <w:r w:rsidRPr="0060795E">
        <w:rPr>
          <w:rFonts w:eastAsia="Times New Roman"/>
          <w:sz w:val="24"/>
          <w:szCs w:val="24"/>
          <w:lang w:eastAsia="ru-RU"/>
        </w:rPr>
        <w:t xml:space="preserve">Один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принципів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Болонського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[1]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наголошує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активній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ідницькій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творчо-самостійній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суб’єктів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Тому кожному педагогу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вміти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потенціал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дитини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іншими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словами,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уміти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Але, за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слушним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зауваженням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К. Д.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Ушинського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виховати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особистість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здатна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лише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особистість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 [4]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Саме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тому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важливого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значення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системі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іслядипломної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набуває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процес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вчителів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дослідницької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lastRenderedPageBreak/>
        <w:t>Завдання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обдарованої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ізнавальних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здібностей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нині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актуальними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системи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українського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освітнього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простору, у тому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числі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такої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його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складової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як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післядипломна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здібностями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розуміють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сукупність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психічних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якостей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індивіда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своїй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єдності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запорукою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успішного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розв’язання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ним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завдань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Свого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часу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Г.Сковорода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стверджував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немає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неталановитих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людей,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кожен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неповторний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по-своєму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обдарований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лише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зуміти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відкрити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обдарованість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допомогти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розвинути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кожній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свої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задатки. Шлях до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вершини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здобутків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завжди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важкий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тернистий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Біографічні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дані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видатних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людей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переконливо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св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ідчать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про те,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були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завжди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притаманні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віра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сили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вимогливість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до себе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результатів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своєї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активна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життєва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позиція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добре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розвинуті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спостережливість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уявлення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пам’ять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;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показниками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їхнього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мислення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швидкість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гнучкість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точність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оригінальність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Названі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вище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однаковою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мірою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 в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однаковому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складі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можуть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бути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притаманними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іншій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Зрештою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ми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виокремили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лише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позитивні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особи, як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вс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інші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позбавлені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вад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Загалом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вони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досить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суперечливі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натури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яким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властива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безл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іч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антагонічних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конкуруючих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рис. Тому не дивно,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багато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хто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вважає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краще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справу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людьми,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високий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рівень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аналітичних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здібностей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а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високий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потенціал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тому,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першими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легше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налагодити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контакт,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другі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ж – все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іддають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сумніву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сприймаючи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нічого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віру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можна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чинити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тиск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особистість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засуджувати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нищівно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критикувати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спроби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Крім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того,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кожну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людину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а особливо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вчителів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організовувати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таку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роботу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ними, яка б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сприяла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розкриттю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вираженню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їхніх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здібностей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створювати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відповідні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умови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їхнього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потенціалу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самоствердження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Цей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процес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може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здійснюватися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системі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іслядипломної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як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курсовий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так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міжкурсовий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періоди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на таких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рівнях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: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-        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розвиток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ізнавальної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;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-        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індивідуальна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групова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робота;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-        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дистанційна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робота.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Ц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рівні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перебувають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тісному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взаємозв'язку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Їхня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інтеграція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дозволяє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зробити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післядипломну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академічною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цікавою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корисною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такою,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розкриває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здібності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допомагає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їхньому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Загальновідомо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коли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людини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одразу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вимагають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а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готують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покроково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цілісно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то вона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скор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іш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за все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вдасться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імітації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так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званої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фальшивої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»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Існує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безл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іч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методів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прийомів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форм,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технологій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потенціалу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Зокрема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практичний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досвід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переконливо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доводять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участь педагога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дослідницький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роботі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сприяє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формуванню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якостей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особистості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підвищує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рівень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самостійності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винахідливої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активності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майстерності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Дослідницька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вважається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вагомим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педагогічним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механізмом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процесі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домінують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ідеї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задуми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максимально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повно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виявляється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суб’єктивність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бачення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знаходять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втілення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особистісні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цінності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установки,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професійні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потреби автора проекту. [3, с. 16]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lastRenderedPageBreak/>
        <w:t>Саме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така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дозволяє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цілеспрямовано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удосконалювати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потенціал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педагогів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сприяє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засвоєнню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накопиченню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застосуванню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перетворенню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суб'єктного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досвіду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у свою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чергу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виявляється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особистісному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ціннісному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ставленні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ідницької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інтелектуальної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(до мети,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змісту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інформації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до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результатів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допомагає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яскравішому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виявленню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здібностей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Але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чи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все так добре у нас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із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станом </w:t>
      </w:r>
      <w:proofErr w:type="spellStart"/>
      <w:proofErr w:type="gram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ідницької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вчителів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на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сучасному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етапі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?</w:t>
      </w:r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Відповідь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однозначна –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На жаль,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доволі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часто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залучаються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примусу, вони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інколи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знають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структури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вимог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етапів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роботи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над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певним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дослідженням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Насамперед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нам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зацікавити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вчителів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ідницькою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проектною,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діяльністю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Яким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чином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це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можна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зробити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?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Передусім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викладацький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приклад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активної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ідницької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постійного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переборювання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різних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шаблонів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звичок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виникли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давно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вимагають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як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застарілі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кардинальних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змін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Крім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схвалення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оцінка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продукту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висококласним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викладачем-професіоналом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рейтинг,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різноманітні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нагороди,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публікація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робіт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упровадження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практичних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проектів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тощо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також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набуття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необхідних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знань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навичок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здійсненні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безперечно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стануть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нагоді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подальшій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професіональній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Які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можуть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бути</w:t>
      </w:r>
      <w:proofErr w:type="gram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причини та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наслідки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небажання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невміння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)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вчителя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серйозно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навчатися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дослідженням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?</w:t>
      </w:r>
    </w:p>
    <w:p w:rsidR="0060795E" w:rsidRPr="0060795E" w:rsidRDefault="0060795E" w:rsidP="00607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Почнемо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того,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справді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нелегко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здійснити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оформити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самостійне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Для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немало знати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докласти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чимало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зусиль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більш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складно,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людину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вчили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навчили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як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потрібно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проводити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</w:p>
    <w:p w:rsidR="0060795E" w:rsidRPr="0060795E" w:rsidRDefault="0060795E" w:rsidP="00607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Катастрофічний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дефіцит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часу (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але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хто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нині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поспіша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?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) </w:t>
      </w:r>
    </w:p>
    <w:p w:rsidR="0060795E" w:rsidRPr="0060795E" w:rsidRDefault="0060795E" w:rsidP="00607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Бажання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якнайшвидше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отримати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результат.</w:t>
      </w:r>
    </w:p>
    <w:p w:rsidR="0060795E" w:rsidRPr="0060795E" w:rsidRDefault="0060795E" w:rsidP="00607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Складність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перевірки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оригінальності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викладачами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інколи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їхня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непринциповість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ході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такої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перевірки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).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Які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ж</w:t>
      </w:r>
      <w:proofErr w:type="gram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шляхи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вирішення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цих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проблем?</w:t>
      </w:r>
    </w:p>
    <w:p w:rsidR="0060795E" w:rsidRPr="0060795E" w:rsidRDefault="0060795E" w:rsidP="006079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Насамперед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працювати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науковими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джерелами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Дуже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часто педагоги не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належного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досвіду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знайомства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опрацювання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літератури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конспектування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планування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висунення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перевірки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гіпотез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формулювання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висновків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оформлення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отриманих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результаті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в</w:t>
      </w:r>
      <w:proofErr w:type="spellEnd"/>
      <w:proofErr w:type="gram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Ретельно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перевіряти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самостійність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оригінальність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Якщо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не буде,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учителі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швидко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звикають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до обману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фальші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уявляють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собі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ідницьку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як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цілком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просту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справу, 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саме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як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суцільний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плагіат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Для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вирішення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завдання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: 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-        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попросити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педагога детально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описати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джерела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якими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він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користувався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;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-        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перевірити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розуміння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вс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термінів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посилань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тексті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;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-        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ставити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ізні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запитання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за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змістом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роботи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змогу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оцінити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списане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дослідження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;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lastRenderedPageBreak/>
        <w:t xml:space="preserve">-        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пошуку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розумному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використанню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інформації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через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пошукові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системи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Інтернету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відкидаючи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все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словникове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сміття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Навчати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вчителя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ідницької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краще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покроково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враховуючи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при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цьому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два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основних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аспекти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творчої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:</w:t>
      </w:r>
    </w:p>
    <w:p w:rsidR="0060795E" w:rsidRPr="0060795E" w:rsidRDefault="0060795E" w:rsidP="0060795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ідницька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(як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вид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пізнання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);</w:t>
      </w:r>
    </w:p>
    <w:p w:rsidR="0060795E" w:rsidRPr="0060795E" w:rsidRDefault="0060795E" w:rsidP="0060795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діяльність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проектна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конструкторська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принципово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нового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продукту). 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Необхідно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добитися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того,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щоб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педагоги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оволоділи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обома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цими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видами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ідницької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Для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наприклад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можна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використовувати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>навчально-дослідницький</w:t>
      </w:r>
      <w:proofErr w:type="spellEnd"/>
      <w:r w:rsidRPr="0060795E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практикум</w:t>
      </w:r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своє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дослідницькі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тренування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які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тривають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приблизно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10 – 15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хвилин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Можна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запропонувати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таку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програму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тренувань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: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Розміщення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завдань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відбору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літератури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визначених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тем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Творче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читання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літератури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Розміщуються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уривки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джерел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їхній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критичний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аналіз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Пропонується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варіанти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інтерпретацій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уривків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відмінні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авторських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gramEnd"/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Дискусії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недостатньо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розроблених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науці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тем. 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Розміщення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завдань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планування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висловлювання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розміщення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примірних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плані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в</w:t>
      </w:r>
      <w:proofErr w:type="spellEnd"/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 таких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висловлювань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Вправи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самостійне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складання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плану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висловлювання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урахуванням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посилань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опрацьовані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джерела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власні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спостереження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висновки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Практичні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поради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конспектування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джерел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оформлення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посилань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них.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Тренувальні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тексти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статей.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Практикум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завдання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визначення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мети,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завдань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плану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Вправи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розробки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оцінки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захисту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гіпотези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Практичні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поради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здійснення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опитування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бесіда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інтерв'ю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анкетування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тестування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).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Вправи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складання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опитувальникі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в</w:t>
      </w:r>
      <w:proofErr w:type="spellEnd"/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аналіз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даних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Практикум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завдання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здійснення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наукового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експерименту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Вправи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ідготовку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планування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експерименту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мікроекспериментів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обробку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оцінку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результів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Практикум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складання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схем,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таблиць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діаграм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Практикум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ілюстрування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текстів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Вправи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використання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рисунків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значків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символів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фотоматеріалів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віде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аудіо-матеріалів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Виконання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пробних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цілісних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Розміщення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тем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завдань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цих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Практикум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оформлення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результатів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Поради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як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писати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вступ</w:t>
      </w:r>
      <w:proofErr w:type="spellEnd"/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висновки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як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оформлювати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титульний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аркуш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заголовки, список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літератури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Практикум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ідготовки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наукових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повідомлень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1 – 2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джерел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Вправи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завдання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на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створення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мін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і-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реферату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</w:p>
    <w:p w:rsidR="0060795E" w:rsidRPr="0060795E" w:rsidRDefault="0060795E" w:rsidP="006079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Практичні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поради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захисту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досл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ідження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Вправи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правильному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публічному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мовленні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публічному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опануванні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аналізі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рецензуванні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дискусії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 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Отже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значення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795E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>іслядипломної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полягає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у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вирішенні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проблем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безперервної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оптимальної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мотивації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індивідуальної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пізнавальної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діяльності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 [2, с. 247]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>ДЖЕРЕЛА</w:t>
      </w:r>
    </w:p>
    <w:p w:rsidR="0060795E" w:rsidRPr="0060795E" w:rsidRDefault="0060795E" w:rsidP="0060795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lastRenderedPageBreak/>
        <w:t>Волковський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В.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Болонська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система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Украї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на</w:t>
      </w:r>
      <w:proofErr w:type="spellEnd"/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: за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./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В.Волковський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[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Електронний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ресурс]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 – 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ежим доступу: </w:t>
      </w:r>
      <w:hyperlink r:id="rId5" w:history="1">
        <w:r w:rsidRPr="0060795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http://iifpo.pp.net.ua/publ./5-1-0-26</w:t>
        </w:r>
      </w:hyperlink>
      <w:r w:rsidRPr="0060795E">
        <w:rPr>
          <w:rFonts w:eastAsia="Times New Roman"/>
          <w:sz w:val="24"/>
          <w:szCs w:val="24"/>
          <w:lang w:eastAsia="ru-RU"/>
        </w:rPr>
        <w:t>.</w:t>
      </w:r>
    </w:p>
    <w:p w:rsidR="0060795E" w:rsidRPr="0060795E" w:rsidRDefault="0060795E" w:rsidP="0060795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Мудрак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В.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Сучасні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тенденції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розвитку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вищої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в 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глобальному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інформаційному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просторі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./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В.Мудрак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//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Вища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 – К.: 2006</w:t>
      </w:r>
    </w:p>
    <w:p w:rsidR="0060795E" w:rsidRPr="0060795E" w:rsidRDefault="0060795E" w:rsidP="0060795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spellStart"/>
      <w:r w:rsidRPr="0060795E">
        <w:rPr>
          <w:rFonts w:eastAsia="Times New Roman"/>
          <w:sz w:val="24"/>
          <w:szCs w:val="24"/>
          <w:lang w:eastAsia="ru-RU"/>
        </w:rPr>
        <w:t>Остапчук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О.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Професійний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саморозвиток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самопроектування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системі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педагогічної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./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О.Остапчук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 xml:space="preserve"> // Шлях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 – 2007. - № 4</w:t>
      </w:r>
    </w:p>
    <w:p w:rsidR="0060795E" w:rsidRPr="0060795E" w:rsidRDefault="0060795E" w:rsidP="0060795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60795E">
        <w:rPr>
          <w:rFonts w:eastAsia="Times New Roman"/>
          <w:sz w:val="24"/>
          <w:szCs w:val="24"/>
          <w:lang w:eastAsia="ru-RU"/>
        </w:rPr>
        <w:t xml:space="preserve">Ушинский К. </w:t>
      </w:r>
      <w:proofErr w:type="spellStart"/>
      <w:r w:rsidRPr="0060795E">
        <w:rPr>
          <w:rFonts w:eastAsia="Times New Roman"/>
          <w:sz w:val="24"/>
          <w:szCs w:val="24"/>
          <w:lang w:eastAsia="ru-RU"/>
        </w:rPr>
        <w:t>Избр</w:t>
      </w:r>
      <w:proofErr w:type="spellEnd"/>
      <w:r w:rsidRPr="0060795E">
        <w:rPr>
          <w:rFonts w:eastAsia="Times New Roman"/>
          <w:sz w:val="24"/>
          <w:szCs w:val="24"/>
          <w:lang w:eastAsia="ru-RU"/>
        </w:rPr>
        <w:t>. педагогические сочинения в 6 Т.: Т</w:t>
      </w:r>
      <w:proofErr w:type="gramStart"/>
      <w:r w:rsidRPr="0060795E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60795E">
        <w:rPr>
          <w:rFonts w:eastAsia="Times New Roman"/>
          <w:sz w:val="24"/>
          <w:szCs w:val="24"/>
          <w:lang w:eastAsia="ru-RU"/>
        </w:rPr>
        <w:t xml:space="preserve">/ сост. С. Егоров. – М.: Педагогика, 1988 </w:t>
      </w:r>
    </w:p>
    <w:p w:rsidR="0060795E" w:rsidRPr="0060795E" w:rsidRDefault="0060795E" w:rsidP="0060795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FE6A46" w:rsidRPr="0060795E" w:rsidRDefault="00FE6A46">
      <w:pPr>
        <w:rPr>
          <w:lang w:val="en-US"/>
        </w:rPr>
      </w:pPr>
    </w:p>
    <w:sectPr w:rsidR="00FE6A46" w:rsidRPr="0060795E" w:rsidSect="00F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63E"/>
    <w:multiLevelType w:val="multilevel"/>
    <w:tmpl w:val="07DC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B5C3A"/>
    <w:multiLevelType w:val="multilevel"/>
    <w:tmpl w:val="A78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C56E6"/>
    <w:multiLevelType w:val="multilevel"/>
    <w:tmpl w:val="DEE2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7209A"/>
    <w:multiLevelType w:val="multilevel"/>
    <w:tmpl w:val="C0B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E1EBE"/>
    <w:multiLevelType w:val="multilevel"/>
    <w:tmpl w:val="074E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795E"/>
    <w:rsid w:val="00330EE0"/>
    <w:rsid w:val="00424F46"/>
    <w:rsid w:val="0060795E"/>
    <w:rsid w:val="007C6576"/>
    <w:rsid w:val="00F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9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95E"/>
    <w:rPr>
      <w:b/>
      <w:bCs/>
    </w:rPr>
  </w:style>
  <w:style w:type="character" w:styleId="a5">
    <w:name w:val="Emphasis"/>
    <w:basedOn w:val="a0"/>
    <w:uiPriority w:val="20"/>
    <w:qFormat/>
    <w:rsid w:val="0060795E"/>
    <w:rPr>
      <w:i/>
      <w:iCs/>
    </w:rPr>
  </w:style>
  <w:style w:type="character" w:styleId="a6">
    <w:name w:val="Hyperlink"/>
    <w:basedOn w:val="a0"/>
    <w:uiPriority w:val="99"/>
    <w:semiHidden/>
    <w:unhideWhenUsed/>
    <w:rsid w:val="00607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ifpo.pp.net.ua/publ./5-1-0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9623</Characters>
  <Application>Microsoft Office Word</Application>
  <DocSecurity>0</DocSecurity>
  <Lines>80</Lines>
  <Paragraphs>22</Paragraphs>
  <ScaleCrop>false</ScaleCrop>
  <Company>Krokoz™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2015-04-17T10:59:00Z</dcterms:created>
  <dcterms:modified xsi:type="dcterms:W3CDTF">2015-04-17T11:01:00Z</dcterms:modified>
</cp:coreProperties>
</file>