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ED" w:rsidRPr="00F223ED" w:rsidRDefault="005C4310" w:rsidP="00F223ED">
      <w:pP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  <w:t>О</w:t>
      </w:r>
      <w:r w:rsidRPr="00F223ED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  <w:t xml:space="preserve">собливості реалізації </w:t>
      </w:r>
      <w:proofErr w:type="spellStart"/>
      <w:r w:rsidRPr="00F223ED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  <w:t>середовищного</w:t>
      </w:r>
      <w:proofErr w:type="spellEnd"/>
      <w:r w:rsidRPr="00F223ED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  <w:t xml:space="preserve"> підходу в дошкільній освіті</w:t>
      </w:r>
    </w:p>
    <w:p w:rsidR="00F223ED" w:rsidRPr="00F223ED" w:rsidRDefault="00F223ED" w:rsidP="00F223ED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shd w:val="clear" w:color="auto" w:fill="FFFFFF"/>
          <w:lang w:eastAsia="ru-RU"/>
        </w:rPr>
      </w:pPr>
    </w:p>
    <w:p w:rsidR="00F223ED" w:rsidRPr="00F223ED" w:rsidRDefault="00F223ED" w:rsidP="00F223E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eastAsia="ru-RU"/>
        </w:rPr>
        <w:t>Кошіль</w:t>
      </w:r>
      <w:r w:rsidRPr="00F223E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eastAsia="ru-RU"/>
        </w:rPr>
        <w:t>Оксана</w:t>
      </w:r>
      <w:r w:rsidRPr="00F223E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eastAsia="ru-RU"/>
        </w:rPr>
        <w:t>Петрівна</w:t>
      </w:r>
      <w:r w:rsidRPr="00F223ED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eastAsia="ru-RU"/>
        </w:rPr>
        <w:t xml:space="preserve">, </w:t>
      </w: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завідувачк</w:t>
      </w:r>
      <w:r w:rsidRPr="00F223ED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а</w:t>
      </w: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шкільного відділення</w:t>
      </w:r>
    </w:p>
    <w:p w:rsidR="00F223ED" w:rsidRPr="00F223ED" w:rsidRDefault="00F223ED" w:rsidP="00F223E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Фахового коледжу «Універсум»</w:t>
      </w:r>
    </w:p>
    <w:p w:rsidR="00F223ED" w:rsidRPr="00F223ED" w:rsidRDefault="00F223ED" w:rsidP="00F223E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</w:pP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Київського університету імені Бориса Грінченка,</w:t>
      </w:r>
    </w:p>
    <w:p w:rsidR="00F223ED" w:rsidRPr="00F223ED" w:rsidRDefault="00F223ED" w:rsidP="00F223E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</w:pP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канд</w:t>
      </w:r>
      <w:r w:rsidRPr="00F223ED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идатка</w:t>
      </w: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пед</w:t>
      </w:r>
      <w:r w:rsidRPr="00F223ED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агогічних</w:t>
      </w: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наук</w:t>
      </w:r>
    </w:p>
    <w:p w:rsidR="00F223ED" w:rsidRPr="00F223ED" w:rsidRDefault="00F223ED" w:rsidP="00F223ED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shd w:val="clear" w:color="auto" w:fill="FFFFFF"/>
          <w:lang w:eastAsia="ru-RU"/>
        </w:rPr>
      </w:pPr>
    </w:p>
    <w:p w:rsidR="00F223ED" w:rsidRPr="00F223ED" w:rsidRDefault="00F223ED" w:rsidP="00F223ED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</w:pPr>
      <w:r w:rsidRPr="00F223ED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 xml:space="preserve">Анотація. </w:t>
      </w:r>
      <w:bookmarkStart w:id="0" w:name="_GoBack"/>
      <w:r w:rsidR="00E3081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 xml:space="preserve">У роботі </w:t>
      </w:r>
      <w:proofErr w:type="spellStart"/>
      <w:r w:rsidR="00E3081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>тезисно</w:t>
      </w:r>
      <w:proofErr w:type="spellEnd"/>
      <w:r w:rsidR="00E3081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 xml:space="preserve"> представлено</w:t>
      </w: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 xml:space="preserve"> проблему </w:t>
      </w:r>
      <w:r w:rsidR="00E3081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 xml:space="preserve">реалізації середовищного підходу в </w:t>
      </w: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>дошкільн</w:t>
      </w:r>
      <w:r w:rsidR="00E3081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>ій</w:t>
      </w: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 xml:space="preserve"> освіт</w:t>
      </w:r>
      <w:r w:rsidR="00E3081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>і та вплив освітнього середовища на розвиток дитини</w:t>
      </w: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>.</w:t>
      </w:r>
    </w:p>
    <w:bookmarkEnd w:id="0"/>
    <w:p w:rsidR="00F223ED" w:rsidRPr="00F223ED" w:rsidRDefault="00F223ED" w:rsidP="00F223ED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</w:pPr>
      <w:r w:rsidRPr="00F223ED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 xml:space="preserve">Ключові слова: </w:t>
      </w:r>
      <w:r w:rsidR="00E3081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>середовище</w:t>
      </w: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 xml:space="preserve">; </w:t>
      </w:r>
      <w:r w:rsidR="00E3081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>освітнє середовище</w:t>
      </w: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>; до</w:t>
      </w:r>
      <w:r w:rsidR="00E3081A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>шкільна освіта; якість освіти; середовищний підхід</w:t>
      </w:r>
      <w:r w:rsidRPr="00F223ED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shd w:val="clear" w:color="auto" w:fill="FFFFFF"/>
          <w:lang w:eastAsia="ru-RU"/>
        </w:rPr>
        <w:t>.</w:t>
      </w:r>
    </w:p>
    <w:p w:rsidR="00F223ED" w:rsidRPr="00F223ED" w:rsidRDefault="00F223ED" w:rsidP="00F223ED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shd w:val="clear" w:color="auto" w:fill="FFFFFF"/>
          <w:lang w:eastAsia="ru-RU"/>
        </w:rPr>
      </w:pPr>
    </w:p>
    <w:p w:rsidR="00E3081A" w:rsidRDefault="00E3081A" w:rsidP="00E3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5C">
        <w:rPr>
          <w:rFonts w:ascii="Times New Roman" w:hAnsi="Times New Roman" w:cs="Times New Roman"/>
          <w:sz w:val="28"/>
          <w:szCs w:val="28"/>
        </w:rPr>
        <w:t xml:space="preserve">Зміна цілей освіти, зміщення акцентів зі </w:t>
      </w:r>
      <w:proofErr w:type="spellStart"/>
      <w:r w:rsidRPr="0066045C">
        <w:rPr>
          <w:rFonts w:ascii="Times New Roman" w:hAnsi="Times New Roman" w:cs="Times New Roman"/>
          <w:sz w:val="28"/>
          <w:szCs w:val="28"/>
        </w:rPr>
        <w:t>знаннєвого</w:t>
      </w:r>
      <w:proofErr w:type="spellEnd"/>
      <w:r w:rsidRPr="0066045C">
        <w:rPr>
          <w:rFonts w:ascii="Times New Roman" w:hAnsi="Times New Roman" w:cs="Times New Roman"/>
          <w:sz w:val="28"/>
          <w:szCs w:val="28"/>
        </w:rPr>
        <w:t xml:space="preserve"> на компетентнісний підхід зумовлюють нове бачення якісної дошкільної освіти. Вона має відповідати світовим освітнім тенденціям, державним вимогам, соціокультурним цінностям країни, бути спроможною задовольнити вимоги та потреби українського суспільства, а головне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045C">
        <w:rPr>
          <w:rFonts w:ascii="Times New Roman" w:hAnsi="Times New Roman" w:cs="Times New Roman"/>
          <w:sz w:val="28"/>
          <w:szCs w:val="28"/>
        </w:rPr>
        <w:t xml:space="preserve"> кожної окремої дитини.</w:t>
      </w:r>
    </w:p>
    <w:p w:rsidR="00F223ED" w:rsidRPr="00F223ED" w:rsidRDefault="00E3081A" w:rsidP="00E3081A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53FDC">
        <w:rPr>
          <w:rFonts w:ascii="Times New Roman" w:hAnsi="Times New Roman" w:cs="Times New Roman"/>
          <w:sz w:val="28"/>
          <w:szCs w:val="28"/>
        </w:rPr>
        <w:t>Проблема освітнього сере</w:t>
      </w:r>
      <w:r>
        <w:rPr>
          <w:rFonts w:ascii="Times New Roman" w:hAnsi="Times New Roman" w:cs="Times New Roman"/>
          <w:sz w:val="28"/>
          <w:szCs w:val="28"/>
        </w:rPr>
        <w:t xml:space="preserve">довища та його впливу на якість </w:t>
      </w:r>
      <w:r w:rsidRPr="00553FDC">
        <w:rPr>
          <w:rFonts w:ascii="Times New Roman" w:hAnsi="Times New Roman" w:cs="Times New Roman"/>
          <w:sz w:val="28"/>
          <w:szCs w:val="28"/>
        </w:rPr>
        <w:t>та ефективність о</w:t>
      </w:r>
      <w:r>
        <w:rPr>
          <w:rFonts w:ascii="Times New Roman" w:hAnsi="Times New Roman" w:cs="Times New Roman"/>
          <w:sz w:val="28"/>
          <w:szCs w:val="28"/>
        </w:rPr>
        <w:t xml:space="preserve">світи займає одне з центральних </w:t>
      </w:r>
      <w:r w:rsidRPr="00553FDC">
        <w:rPr>
          <w:rFonts w:ascii="Times New Roman" w:hAnsi="Times New Roman" w:cs="Times New Roman"/>
          <w:sz w:val="28"/>
          <w:szCs w:val="28"/>
        </w:rPr>
        <w:t>місць у сучасній педагогічній науці та практиці. На сьогодні середовищний підхід в освіті – дошкільній, шкільній, професійній, безперервній зафіксований як перспективний на рівні «Всесві</w:t>
      </w:r>
      <w:r>
        <w:rPr>
          <w:rFonts w:ascii="Times New Roman" w:hAnsi="Times New Roman" w:cs="Times New Roman"/>
          <w:sz w:val="28"/>
          <w:szCs w:val="28"/>
        </w:rPr>
        <w:t xml:space="preserve">тніх доповідей з освіти» </w:t>
      </w:r>
      <w:r w:rsidRPr="00E3081A">
        <w:rPr>
          <w:rFonts w:ascii="Times New Roman" w:hAnsi="Times New Roman" w:cs="Times New Roman"/>
          <w:sz w:val="28"/>
          <w:szCs w:val="28"/>
        </w:rPr>
        <w:t>ЮНЕСКО [1].</w:t>
      </w:r>
    </w:p>
    <w:p w:rsidR="00F223ED" w:rsidRPr="00F223ED" w:rsidRDefault="00E3081A" w:rsidP="00F223ED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E3081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 філософії поняття «середовище» з’явилося в Епоху Просвітництва і розумілося як оточуючі людину суспільні, матеріальні і духовні умови її існування, формування і діяльності. У цьому значенні «середовище» розглядалося як макросередовище (суспільно-економічна система в цілому) та мікросередовище (безпосереднє соціальне оточення людини) [4].</w:t>
      </w:r>
    </w:p>
    <w:p w:rsidR="00F223ED" w:rsidRPr="00F223ED" w:rsidRDefault="00E3081A" w:rsidP="00F223ED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715163">
        <w:rPr>
          <w:rFonts w:ascii="Times New Roman" w:eastAsia="Calibri" w:hAnsi="Times New Roman" w:cs="Times New Roman"/>
          <w:sz w:val="28"/>
          <w:szCs w:val="28"/>
        </w:rPr>
        <w:t xml:space="preserve">Відповідно до запропонованої американським психологом </w:t>
      </w:r>
      <w:proofErr w:type="spellStart"/>
      <w:r w:rsidRPr="00715163">
        <w:rPr>
          <w:rFonts w:ascii="Times New Roman" w:eastAsia="Calibri" w:hAnsi="Times New Roman" w:cs="Times New Roman"/>
          <w:sz w:val="28"/>
          <w:szCs w:val="28"/>
        </w:rPr>
        <w:t>Урі</w:t>
      </w:r>
      <w:proofErr w:type="spellEnd"/>
      <w:r w:rsidRPr="0071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5163">
        <w:rPr>
          <w:rFonts w:ascii="Times New Roman" w:eastAsia="Calibri" w:hAnsi="Times New Roman" w:cs="Times New Roman"/>
          <w:sz w:val="28"/>
          <w:szCs w:val="28"/>
        </w:rPr>
        <w:t>Бронфенбреннером</w:t>
      </w:r>
      <w:proofErr w:type="spellEnd"/>
      <w:r w:rsidRPr="00715163">
        <w:rPr>
          <w:rFonts w:ascii="Times New Roman" w:eastAsia="Calibri" w:hAnsi="Times New Roman" w:cs="Times New Roman"/>
          <w:sz w:val="28"/>
          <w:szCs w:val="28"/>
        </w:rPr>
        <w:t xml:space="preserve"> теорії, розвиток людини є динамічним процесом, що відбувається в двох напрямках. Тобто, з одного боку, людина зазнає впливу з боку середовища, з іншого – сама </w:t>
      </w:r>
      <w:proofErr w:type="spellStart"/>
      <w:r w:rsidRPr="00715163">
        <w:rPr>
          <w:rFonts w:ascii="Times New Roman" w:eastAsia="Calibri" w:hAnsi="Times New Roman" w:cs="Times New Roman"/>
          <w:sz w:val="28"/>
          <w:szCs w:val="28"/>
        </w:rPr>
        <w:t>реструктуризує</w:t>
      </w:r>
      <w:proofErr w:type="spellEnd"/>
      <w:r w:rsidRPr="00715163">
        <w:rPr>
          <w:rFonts w:ascii="Times New Roman" w:eastAsia="Calibri" w:hAnsi="Times New Roman" w:cs="Times New Roman"/>
          <w:sz w:val="28"/>
          <w:szCs w:val="28"/>
        </w:rPr>
        <w:t xml:space="preserve"> середовище. На думку </w:t>
      </w:r>
      <w:proofErr w:type="spellStart"/>
      <w:r w:rsidRPr="00715163">
        <w:rPr>
          <w:rFonts w:ascii="Times New Roman" w:eastAsia="Calibri" w:hAnsi="Times New Roman" w:cs="Times New Roman"/>
          <w:sz w:val="28"/>
          <w:szCs w:val="28"/>
        </w:rPr>
        <w:t>Урі</w:t>
      </w:r>
      <w:proofErr w:type="spellEnd"/>
      <w:r w:rsidRPr="0071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5163">
        <w:rPr>
          <w:rFonts w:ascii="Times New Roman" w:eastAsia="Calibri" w:hAnsi="Times New Roman" w:cs="Times New Roman"/>
          <w:sz w:val="28"/>
          <w:szCs w:val="28"/>
        </w:rPr>
        <w:t>Бронфенбреннера</w:t>
      </w:r>
      <w:proofErr w:type="spellEnd"/>
      <w:r w:rsidRPr="00715163">
        <w:rPr>
          <w:rFonts w:ascii="Times New Roman" w:eastAsia="Calibri" w:hAnsi="Times New Roman" w:cs="Times New Roman"/>
          <w:sz w:val="28"/>
          <w:szCs w:val="28"/>
        </w:rPr>
        <w:t xml:space="preserve"> екологічне середовище дитини містить мікросистему (сім’я), мезосистему (заклад дошкільної освіти, школа, навчальний заклад, район проживання), екосистему (різні організації), макросистему (</w:t>
      </w:r>
      <w:r w:rsidRPr="00E3081A">
        <w:rPr>
          <w:rFonts w:ascii="Times New Roman" w:eastAsia="Calibri" w:hAnsi="Times New Roman" w:cs="Times New Roman"/>
          <w:sz w:val="28"/>
          <w:szCs w:val="28"/>
        </w:rPr>
        <w:t>культурні звичаї країни, цінності, ресурси), які здатні вдало інфільтруватися одна в одну [5].</w:t>
      </w:r>
    </w:p>
    <w:p w:rsidR="00E3081A" w:rsidRDefault="00E3081A" w:rsidP="00E3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45C">
        <w:rPr>
          <w:rFonts w:ascii="Times New Roman" w:eastAsia="Calibri" w:hAnsi="Times New Roman" w:cs="Times New Roman"/>
          <w:sz w:val="28"/>
          <w:szCs w:val="28"/>
        </w:rPr>
        <w:t>Визначення дефініції «середовище» трактувалося багатьма науковцями ХХ століття через категорії: оточення (Л. Новікова), оточуючий світ (І. Тен), ситуативне оточення (Т. Парсонс), простір (С. </w:t>
      </w:r>
      <w:proofErr w:type="spellStart"/>
      <w:r w:rsidRPr="0066045C">
        <w:rPr>
          <w:rFonts w:ascii="Times New Roman" w:eastAsia="Calibri" w:hAnsi="Times New Roman" w:cs="Times New Roman"/>
          <w:sz w:val="28"/>
          <w:szCs w:val="28"/>
        </w:rPr>
        <w:t>Ожегов</w:t>
      </w:r>
      <w:proofErr w:type="spellEnd"/>
      <w:r w:rsidRPr="0066045C">
        <w:rPr>
          <w:rFonts w:ascii="Times New Roman" w:eastAsia="Calibri" w:hAnsi="Times New Roman" w:cs="Times New Roman"/>
          <w:sz w:val="28"/>
          <w:szCs w:val="28"/>
        </w:rPr>
        <w:t>), умови (Ю. </w:t>
      </w:r>
      <w:proofErr w:type="spellStart"/>
      <w:r w:rsidRPr="0066045C">
        <w:rPr>
          <w:rFonts w:ascii="Times New Roman" w:eastAsia="Calibri" w:hAnsi="Times New Roman" w:cs="Times New Roman"/>
          <w:sz w:val="28"/>
          <w:szCs w:val="28"/>
        </w:rPr>
        <w:t>Кулюткін</w:t>
      </w:r>
      <w:proofErr w:type="spellEnd"/>
      <w:r w:rsidRPr="0066045C">
        <w:rPr>
          <w:rFonts w:ascii="Times New Roman" w:eastAsia="Calibri" w:hAnsi="Times New Roman" w:cs="Times New Roman"/>
          <w:sz w:val="28"/>
          <w:szCs w:val="28"/>
        </w:rPr>
        <w:t>, С. Тарасов), система (Є. Гусинський, В. </w:t>
      </w:r>
      <w:proofErr w:type="spellStart"/>
      <w:r w:rsidRPr="0066045C">
        <w:rPr>
          <w:rFonts w:ascii="Times New Roman" w:eastAsia="Calibri" w:hAnsi="Times New Roman" w:cs="Times New Roman"/>
          <w:sz w:val="28"/>
          <w:szCs w:val="28"/>
        </w:rPr>
        <w:t>Беспалько</w:t>
      </w:r>
      <w:proofErr w:type="spellEnd"/>
      <w:r w:rsidRPr="0066045C">
        <w:rPr>
          <w:rFonts w:ascii="Times New Roman" w:eastAsia="Calibri" w:hAnsi="Times New Roman" w:cs="Times New Roman"/>
          <w:sz w:val="28"/>
          <w:szCs w:val="28"/>
        </w:rPr>
        <w:t>, В. Якунін, В. Афанасьєв, І. Родіонов).</w:t>
      </w:r>
    </w:p>
    <w:p w:rsidR="00E3081A" w:rsidRPr="0066045C" w:rsidRDefault="00E3081A" w:rsidP="00E3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Проведений науковий аналіз засвідчує, що найчастіше освітнє середовище науковці визначають як: </w:t>
      </w:r>
      <w:r w:rsidRPr="006604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чинник</w:t>
      </w:r>
      <w:r w:rsidRPr="0066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особистості, </w:t>
      </w:r>
      <w:r w:rsidRPr="006604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умови</w:t>
      </w:r>
      <w:r w:rsidRPr="0066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комунікативної взаємодії між суб’єктами, </w:t>
      </w:r>
      <w:r w:rsidRPr="006604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засіб</w:t>
      </w:r>
      <w:r w:rsidRPr="0066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самореалізації. </w:t>
      </w:r>
    </w:p>
    <w:p w:rsidR="00E3081A" w:rsidRDefault="00E3081A" w:rsidP="00E3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163">
        <w:rPr>
          <w:rFonts w:ascii="Times New Roman" w:eastAsia="Calibri" w:hAnsi="Times New Roman" w:cs="Times New Roman"/>
          <w:sz w:val="28"/>
          <w:szCs w:val="28"/>
        </w:rPr>
        <w:t>Дослідники проблеми освітнього середовища закладу дошкільної освіти, розглядають такі підходи до його визначення: соціально-психологічний (освітнє середовище визначається як умова моделювання дитиною особистісного внутрішнього світу у процесі взаємодії з оточуючим світом); соціально-педагогічний (освітнє середовище як багатомірне соціально-</w:t>
      </w:r>
      <w:r w:rsidRPr="00715163">
        <w:rPr>
          <w:rFonts w:ascii="Times New Roman" w:eastAsia="Calibri" w:hAnsi="Times New Roman" w:cs="Times New Roman"/>
          <w:sz w:val="28"/>
          <w:szCs w:val="28"/>
        </w:rPr>
        <w:lastRenderedPageBreak/>
        <w:t>педагогічне явище, яке ситуативно впливає на розвиток ціннісних орієнтацій, способів поведінки дитини).</w:t>
      </w:r>
    </w:p>
    <w:p w:rsidR="00F223ED" w:rsidRPr="00F223ED" w:rsidRDefault="00E3081A" w:rsidP="00E3081A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Відтак, н</w:t>
      </w:r>
      <w:r w:rsidRPr="00715163">
        <w:rPr>
          <w:rFonts w:ascii="Times New Roman" w:eastAsia="Calibri" w:hAnsi="Times New Roman" w:cs="Times New Roman"/>
          <w:sz w:val="28"/>
          <w:szCs w:val="28"/>
        </w:rPr>
        <w:t xml:space="preserve">а основі проведеного аналізу розглядаємо освітнє середовище закладу дошкільної освіти як системне утворення, особливий комплекс умов, матеріальних і нематеріальних ресурсів закладу дошкільної освіти, що має об’єктивні можливості відігравати роль чинника цілісного особистісного розвитку дитини дошкільного </w:t>
      </w:r>
      <w:r w:rsidRPr="00E3081A">
        <w:rPr>
          <w:rFonts w:ascii="Times New Roman" w:eastAsia="Calibri" w:hAnsi="Times New Roman" w:cs="Times New Roman"/>
          <w:sz w:val="28"/>
          <w:szCs w:val="28"/>
        </w:rPr>
        <w:t>віку [3].</w:t>
      </w:r>
    </w:p>
    <w:p w:rsidR="00F223ED" w:rsidRDefault="00E3081A" w:rsidP="00F223ED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82D56">
        <w:rPr>
          <w:rFonts w:ascii="Times New Roman" w:eastAsia="Calibri" w:hAnsi="Times New Roman" w:cs="Times New Roman"/>
          <w:sz w:val="28"/>
          <w:szCs w:val="28"/>
        </w:rPr>
        <w:t>еалізація середовищного підходу в дошкільній освіті зумовлює створення специфічного середовища – «світу дитинства».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5163">
        <w:rPr>
          <w:rFonts w:ascii="Times New Roman" w:eastAsia="Calibri" w:hAnsi="Times New Roman" w:cs="Times New Roman"/>
          <w:sz w:val="28"/>
          <w:szCs w:val="28"/>
        </w:rPr>
        <w:t xml:space="preserve">Науковці зазначають, що середовищний підхід полягає у визнанні трьох рівноправних учасників освітнього процесу: педагога, дитини і освітнього середовища. А відтак, середовищний підхід – це теорія і технологія опосередкованого управління освітнім процесом, в якому основним акцентом є </w:t>
      </w:r>
      <w:r w:rsidRPr="00E3081A">
        <w:rPr>
          <w:rFonts w:ascii="Times New Roman" w:eastAsia="Calibri" w:hAnsi="Times New Roman" w:cs="Times New Roman"/>
          <w:sz w:val="28"/>
          <w:szCs w:val="28"/>
        </w:rPr>
        <w:t>включення внутрішньої активності дитини, її самоосвіти, самовиховання та саморозвитку [2]</w:t>
      </w:r>
      <w:r w:rsidR="00F223ED" w:rsidRPr="00F223E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E3081A" w:rsidRPr="0066045C" w:rsidRDefault="00E3081A" w:rsidP="00E3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5A">
        <w:rPr>
          <w:rFonts w:ascii="Times New Roman" w:eastAsia="Times New Roman" w:hAnsi="Times New Roman" w:cs="Times New Roman"/>
          <w:sz w:val="28"/>
          <w:szCs w:val="28"/>
        </w:rPr>
        <w:t>Системний підхід до аналізу дошкільного освітнього середовища пропонують американські учені, засновники Інституту оцінювання середовища раннього дитинства (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Environment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Rating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Scales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Institute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>) Т. 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Хармс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Thelma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Harms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>), Р. М. 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Кліфорд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Richard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Clifford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>), розробники спеціальної методики, яка постійно оновлюється. Це Шкала оцінки середовища раннього дитинства (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Early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Childhood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Environment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Rating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Scale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®, 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Revised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 xml:space="preserve"> (ECERS-R), яка включає 6 </w:t>
      </w:r>
      <w:proofErr w:type="spellStart"/>
      <w:r w:rsidRPr="00137A5A">
        <w:rPr>
          <w:rFonts w:ascii="Times New Roman" w:eastAsia="Times New Roman" w:hAnsi="Times New Roman" w:cs="Times New Roman"/>
          <w:sz w:val="28"/>
          <w:szCs w:val="28"/>
        </w:rPr>
        <w:t>підшкал</w:t>
      </w:r>
      <w:proofErr w:type="spellEnd"/>
      <w:r w:rsidRPr="00137A5A">
        <w:rPr>
          <w:rFonts w:ascii="Times New Roman" w:eastAsia="Times New Roman" w:hAnsi="Times New Roman" w:cs="Times New Roman"/>
          <w:sz w:val="28"/>
          <w:szCs w:val="28"/>
        </w:rPr>
        <w:t>, 35 параметрів, 468 індикаторів та передбачає оцінку всього, з чим та з ким взаємодіє дитина: просторову організацію групової кімнати; розташування умеблювання для гри, навчання, усамітнення, розвитку великої моторики; рівня забезпечення здоров’язбереження та безпеки, мовленнєвої, навчально-пізнавальної діяльності; організацію індивідуалізованого навчання й учіння; рівня психологічного комфорту дитини. Зазначена шкала забезпечує контрольованість та результативність проєктування ідеального освітнього середовища закладу дошкільної осві</w:t>
      </w:r>
      <w:r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E3081A" w:rsidRDefault="00E3081A" w:rsidP="00E3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5C">
        <w:rPr>
          <w:rFonts w:ascii="Times New Roman" w:hAnsi="Times New Roman" w:cs="Times New Roman"/>
          <w:sz w:val="28"/>
          <w:szCs w:val="28"/>
        </w:rPr>
        <w:t xml:space="preserve">Результати проведеного нами анкетування вихователів закладів дошкільної освіти, дали змогу засвідчити, що для педагогічних колективів </w:t>
      </w:r>
      <w:r>
        <w:rPr>
          <w:rFonts w:ascii="Times New Roman" w:hAnsi="Times New Roman" w:cs="Times New Roman"/>
          <w:sz w:val="28"/>
          <w:szCs w:val="28"/>
        </w:rPr>
        <w:t>реалізація середовищного підходу</w:t>
      </w:r>
      <w:r w:rsidRPr="0066045C">
        <w:rPr>
          <w:rFonts w:ascii="Times New Roman" w:hAnsi="Times New Roman" w:cs="Times New Roman"/>
          <w:sz w:val="28"/>
          <w:szCs w:val="28"/>
        </w:rPr>
        <w:t xml:space="preserve"> в </w:t>
      </w:r>
      <w:r w:rsidR="00983F10">
        <w:rPr>
          <w:rFonts w:ascii="Times New Roman" w:hAnsi="Times New Roman" w:cs="Times New Roman"/>
          <w:sz w:val="28"/>
          <w:szCs w:val="28"/>
        </w:rPr>
        <w:t>закладі дошкільної освіти</w:t>
      </w:r>
      <w:r w:rsidRPr="0066045C">
        <w:rPr>
          <w:rFonts w:ascii="Times New Roman" w:hAnsi="Times New Roman" w:cs="Times New Roman"/>
          <w:sz w:val="28"/>
          <w:szCs w:val="28"/>
        </w:rPr>
        <w:t xml:space="preserve"> є достатньо складним завданням. Вирішення зазначеної проблеми супроводжується дискусіями, пошуками оптимальних варіантів. Зазначимо, що основним результатом діяльності </w:t>
      </w:r>
      <w:r w:rsidR="00983F10">
        <w:rPr>
          <w:rFonts w:ascii="Times New Roman" w:hAnsi="Times New Roman" w:cs="Times New Roman"/>
          <w:sz w:val="28"/>
          <w:szCs w:val="28"/>
        </w:rPr>
        <w:t>закладів дошкільної освіти</w:t>
      </w:r>
      <w:r w:rsidRPr="0066045C">
        <w:rPr>
          <w:rFonts w:ascii="Times New Roman" w:hAnsi="Times New Roman" w:cs="Times New Roman"/>
          <w:sz w:val="28"/>
          <w:szCs w:val="28"/>
        </w:rPr>
        <w:t xml:space="preserve"> є не система знань, умінь, навичок, а набуття ди</w:t>
      </w:r>
      <w:r>
        <w:rPr>
          <w:rFonts w:ascii="Times New Roman" w:hAnsi="Times New Roman" w:cs="Times New Roman"/>
          <w:sz w:val="28"/>
          <w:szCs w:val="28"/>
        </w:rPr>
        <w:t>тиною ключових компетентностей.</w:t>
      </w:r>
    </w:p>
    <w:p w:rsidR="00E3081A" w:rsidRDefault="00E3081A" w:rsidP="00E3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Вважаємо, що реалізація середовищного підходу в дошкільній освіті </w:t>
      </w:r>
      <w:r w:rsidRPr="00EF2C18">
        <w:rPr>
          <w:rFonts w:ascii="Times New Roman" w:hAnsi="Times New Roman" w:cs="Times New Roman"/>
          <w:sz w:val="28"/>
          <w:szCs w:val="28"/>
        </w:rPr>
        <w:t>забезпечу</w:t>
      </w:r>
      <w:r>
        <w:rPr>
          <w:rFonts w:ascii="Times New Roman" w:hAnsi="Times New Roman" w:cs="Times New Roman"/>
          <w:sz w:val="28"/>
          <w:szCs w:val="28"/>
        </w:rPr>
        <w:t>ватиме</w:t>
      </w:r>
      <w:r w:rsidRPr="00EF2C18">
        <w:rPr>
          <w:rFonts w:ascii="Times New Roman" w:hAnsi="Times New Roman" w:cs="Times New Roman"/>
          <w:sz w:val="28"/>
          <w:szCs w:val="28"/>
        </w:rPr>
        <w:t xml:space="preserve"> розвиток дітей дошкільного віку, охорону та збереження їхнього здоров’я, необхідні умови у випадку інклюзивної освіти; здійсню</w:t>
      </w:r>
      <w:r>
        <w:rPr>
          <w:rFonts w:ascii="Times New Roman" w:hAnsi="Times New Roman" w:cs="Times New Roman"/>
          <w:sz w:val="28"/>
          <w:szCs w:val="28"/>
        </w:rPr>
        <w:t>ватиме</w:t>
      </w:r>
      <w:r w:rsidRPr="00EF2C18">
        <w:rPr>
          <w:rFonts w:ascii="Times New Roman" w:hAnsi="Times New Roman" w:cs="Times New Roman"/>
          <w:sz w:val="28"/>
          <w:szCs w:val="28"/>
        </w:rPr>
        <w:t xml:space="preserve"> корекцію недоліків розвитку; </w:t>
      </w:r>
      <w:r>
        <w:rPr>
          <w:rFonts w:ascii="Times New Roman" w:hAnsi="Times New Roman" w:cs="Times New Roman"/>
          <w:sz w:val="28"/>
          <w:szCs w:val="28"/>
        </w:rPr>
        <w:t xml:space="preserve">зумовлюватиме </w:t>
      </w:r>
      <w:r w:rsidRPr="00EF2C18">
        <w:rPr>
          <w:rFonts w:ascii="Times New Roman" w:hAnsi="Times New Roman" w:cs="Times New Roman"/>
          <w:sz w:val="28"/>
          <w:szCs w:val="28"/>
        </w:rPr>
        <w:t>врахув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EF2C18">
        <w:rPr>
          <w:rFonts w:ascii="Times New Roman" w:hAnsi="Times New Roman" w:cs="Times New Roman"/>
          <w:sz w:val="28"/>
          <w:szCs w:val="28"/>
        </w:rPr>
        <w:t xml:space="preserve"> особливост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F2C18">
        <w:rPr>
          <w:rFonts w:ascii="Times New Roman" w:hAnsi="Times New Roman" w:cs="Times New Roman"/>
          <w:sz w:val="28"/>
          <w:szCs w:val="28"/>
        </w:rPr>
        <w:t xml:space="preserve"> розвитку та саморозвитку. </w:t>
      </w:r>
      <w:r>
        <w:rPr>
          <w:rFonts w:ascii="Times New Roman" w:hAnsi="Times New Roman" w:cs="Times New Roman"/>
          <w:sz w:val="28"/>
          <w:szCs w:val="28"/>
        </w:rPr>
        <w:t>Таким чином</w:t>
      </w:r>
      <w:r w:rsidRPr="00EF2C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переконані, </w:t>
      </w:r>
      <w:r w:rsidRPr="00EF2C18">
        <w:rPr>
          <w:rFonts w:ascii="Times New Roman" w:hAnsi="Times New Roman" w:cs="Times New Roman"/>
          <w:sz w:val="28"/>
          <w:szCs w:val="28"/>
        </w:rPr>
        <w:t xml:space="preserve">що основною умовою реалізації </w:t>
      </w:r>
      <w:r>
        <w:rPr>
          <w:rFonts w:ascii="Times New Roman" w:hAnsi="Times New Roman" w:cs="Times New Roman"/>
          <w:sz w:val="28"/>
          <w:szCs w:val="28"/>
        </w:rPr>
        <w:t>середовищного підходу в закладі дошкільної освіти</w:t>
      </w:r>
      <w:r w:rsidRPr="00EF2C18">
        <w:rPr>
          <w:rFonts w:ascii="Times New Roman" w:hAnsi="Times New Roman" w:cs="Times New Roman"/>
          <w:sz w:val="28"/>
          <w:szCs w:val="28"/>
        </w:rPr>
        <w:t xml:space="preserve"> є особистісно-орієнтована взаємодія дитини і педагога, у процесі якої відбувається засвоєння соціокультурного досвіду, індивідуальний педагогічний супровід, заснований на принципах партиципації.</w:t>
      </w:r>
    </w:p>
    <w:p w:rsidR="00E3081A" w:rsidRDefault="00E3081A" w:rsidP="00E3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1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Висновки.</w:t>
      </w:r>
      <w:r w:rsidRPr="00EF2C1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66045C">
        <w:rPr>
          <w:rFonts w:ascii="Times New Roman" w:hAnsi="Times New Roman" w:cs="Times New Roman"/>
          <w:sz w:val="28"/>
          <w:szCs w:val="28"/>
        </w:rPr>
        <w:t xml:space="preserve">Відтак, аналіз наукових джерел та перспективного досвіду фахової підготовки майбутніх вихователів </w:t>
      </w:r>
      <w:r w:rsidR="00983F10" w:rsidRPr="00983F10">
        <w:rPr>
          <w:rFonts w:ascii="Times New Roman" w:hAnsi="Times New Roman" w:cs="Times New Roman"/>
          <w:sz w:val="28"/>
          <w:szCs w:val="28"/>
        </w:rPr>
        <w:t>закладів дошкільної освіти</w:t>
      </w:r>
      <w:r w:rsidRPr="0066045C">
        <w:rPr>
          <w:rFonts w:ascii="Times New Roman" w:hAnsi="Times New Roman" w:cs="Times New Roman"/>
          <w:sz w:val="28"/>
          <w:szCs w:val="28"/>
        </w:rPr>
        <w:t xml:space="preserve"> </w:t>
      </w:r>
      <w:r w:rsidRPr="0066045C">
        <w:rPr>
          <w:rFonts w:ascii="Times New Roman" w:hAnsi="Times New Roman" w:cs="Times New Roman"/>
          <w:sz w:val="28"/>
          <w:szCs w:val="28"/>
        </w:rPr>
        <w:lastRenderedPageBreak/>
        <w:t xml:space="preserve">засвідчив, що наразі спостерігається зростання вимог до професійної компетентності вихователів щодо реалізації середовищного підходу в </w:t>
      </w:r>
      <w:r w:rsidR="00983F10" w:rsidRPr="00983F10">
        <w:rPr>
          <w:rFonts w:ascii="Times New Roman" w:hAnsi="Times New Roman" w:cs="Times New Roman"/>
          <w:sz w:val="28"/>
          <w:szCs w:val="28"/>
        </w:rPr>
        <w:t>заклад</w:t>
      </w:r>
      <w:r w:rsidR="00983F10">
        <w:rPr>
          <w:rFonts w:ascii="Times New Roman" w:hAnsi="Times New Roman" w:cs="Times New Roman"/>
          <w:sz w:val="28"/>
          <w:szCs w:val="28"/>
        </w:rPr>
        <w:t>ах</w:t>
      </w:r>
      <w:r w:rsidR="00983F10" w:rsidRPr="00983F10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Pr="0066045C">
        <w:rPr>
          <w:rFonts w:ascii="Times New Roman" w:hAnsi="Times New Roman" w:cs="Times New Roman"/>
          <w:sz w:val="28"/>
          <w:szCs w:val="28"/>
        </w:rPr>
        <w:t>, необхідність підготовки майбутнього вихователя до прогнозування впливу освітнього середовища на особистість дитини дошкільного віку</w:t>
      </w:r>
      <w:r w:rsidR="000F208F">
        <w:rPr>
          <w:rFonts w:ascii="Times New Roman" w:hAnsi="Times New Roman" w:cs="Times New Roman"/>
          <w:sz w:val="28"/>
          <w:szCs w:val="28"/>
        </w:rPr>
        <w:t>, що в свою чергу зумовлюватиме підвищення якості дошкільної освіти</w:t>
      </w:r>
      <w:r w:rsidR="000F208F" w:rsidRPr="000F208F">
        <w:rPr>
          <w:rFonts w:ascii="Times New Roman" w:hAnsi="Times New Roman" w:cs="Times New Roman"/>
          <w:sz w:val="28"/>
          <w:szCs w:val="28"/>
        </w:rPr>
        <w:t>.</w:t>
      </w:r>
    </w:p>
    <w:p w:rsidR="00F223ED" w:rsidRPr="00F223ED" w:rsidRDefault="00F223ED" w:rsidP="00E3081A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223ED" w:rsidRPr="00F223ED" w:rsidRDefault="00F223ED" w:rsidP="00F223ED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F223ED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Список використаних джерел:</w:t>
      </w:r>
    </w:p>
    <w:p w:rsidR="00E3081A" w:rsidRPr="003F5646" w:rsidRDefault="00E3081A" w:rsidP="00E3081A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Братко М.В. Концептуальні засади середовищного підходу у вищій освіті. Компетентнісно зорієнтована освіта: якісні виміри: монографія. Редколегія: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В.О.Огнев’юк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Л.Л.Хоружа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С.О. Сисоєва та ін. Київ: Київський університет імені Бориса Грінченка, 2015. С. 243-261.</w:t>
      </w:r>
    </w:p>
    <w:p w:rsidR="00E3081A" w:rsidRPr="003F5646" w:rsidRDefault="00E3081A" w:rsidP="00E3081A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Гребенкина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Л.К. и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др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Методика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воспитательной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работы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: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учеб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пособие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для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студ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высш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учеб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заведений. 7-е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изд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., стер. Москва: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Издательский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центр «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Академия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», 2009. 160 с.</w:t>
      </w:r>
    </w:p>
    <w:p w:rsidR="00E3081A" w:rsidRPr="003F5646" w:rsidRDefault="00E3081A" w:rsidP="00E3081A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Кошіль О. П. Підготовка майбутніх вихователів до проєктування освітнього середовища закладу дошкільної освіти. [Текст]: дис. на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здоб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 наук. ступ. к-та пед. наук : 13.00.04 - теорія і методика професійної освіти. Київський університет імені Бориса Грінченка. Київ, 2021. 309 с.</w:t>
      </w:r>
    </w:p>
    <w:p w:rsidR="00E3081A" w:rsidRDefault="00E3081A" w:rsidP="00E3081A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Шумакова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И.А.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Понятие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«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рефлексивная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образовательная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среда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» в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философии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образования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Научные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ведомости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Белгородского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государственного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университета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: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Научный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журнал. 2008. № 4 (44). С. 64- 74.</w:t>
      </w:r>
    </w:p>
    <w:p w:rsidR="00E3081A" w:rsidRPr="003F5646" w:rsidRDefault="00E3081A" w:rsidP="00E3081A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Bronfenbrenner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Urie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(1994).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Ecological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models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of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human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development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In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international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Encyclopedia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of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education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Vol.3,2nd,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Ed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Oxford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: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Elsevier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.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Reprinted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in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: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Gauvain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M.&amp;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Cole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M. (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Eds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.),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Reading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on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the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development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of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children</w:t>
      </w:r>
      <w:proofErr w:type="spellEnd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2nd,Ed. (1993-94, pp.37-43). NY.: </w:t>
      </w:r>
      <w:proofErr w:type="spellStart"/>
      <w:r w:rsidRPr="003F564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Freeman</w:t>
      </w:r>
      <w:proofErr w:type="spellEnd"/>
      <w:r w:rsidRPr="003F5646">
        <w:rPr>
          <w:rFonts w:ascii="Times New Roman" w:eastAsia="Times New Roman" w:hAnsi="Times New Roman" w:cs="Times New Roman"/>
          <w:color w:val="222222"/>
          <w:position w:val="-1"/>
          <w:sz w:val="28"/>
          <w:szCs w:val="28"/>
          <w:lang w:eastAsia="ru-RU"/>
        </w:rPr>
        <w:t>.</w:t>
      </w:r>
    </w:p>
    <w:p w:rsidR="00432E3B" w:rsidRDefault="00432E3B"/>
    <w:sectPr w:rsidR="00432E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3FE2"/>
    <w:multiLevelType w:val="hybridMultilevel"/>
    <w:tmpl w:val="E25EDCCC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A8A64B6"/>
    <w:multiLevelType w:val="multilevel"/>
    <w:tmpl w:val="B55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3F2"/>
    <w:rsid w:val="00063D7D"/>
    <w:rsid w:val="000F208F"/>
    <w:rsid w:val="0014241E"/>
    <w:rsid w:val="004213F2"/>
    <w:rsid w:val="00432E3B"/>
    <w:rsid w:val="005C4310"/>
    <w:rsid w:val="00983F10"/>
    <w:rsid w:val="00A86B44"/>
    <w:rsid w:val="00E3081A"/>
    <w:rsid w:val="00EF5F2C"/>
    <w:rsid w:val="00F2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E3EA"/>
  <w15:docId w15:val="{B887C003-E135-4D95-93B1-CBCB3615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2021-12-08T10:56:00Z</dcterms:created>
  <dcterms:modified xsi:type="dcterms:W3CDTF">2021-12-08T15:09:00Z</dcterms:modified>
</cp:coreProperties>
</file>