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b/>
          <w:sz w:val="24"/>
          <w:szCs w:val="24"/>
          <w:lang w:val="uk-UA" w:eastAsia="ru-RU"/>
        </w:rPr>
      </w:pPr>
      <w:r w:rsidRPr="00833AAA">
        <w:rPr>
          <w:rFonts w:eastAsia="Times New Roman"/>
          <w:b/>
          <w:sz w:val="24"/>
          <w:szCs w:val="24"/>
          <w:lang w:eastAsia="ru-RU"/>
        </w:rPr>
        <w:t>УДК: 371.142</w:t>
      </w:r>
    </w:p>
    <w:p w:rsidR="00833AAA" w:rsidRDefault="00833AAA" w:rsidP="00833AA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uk-UA" w:eastAsia="ru-RU"/>
        </w:rPr>
      </w:pPr>
      <w:proofErr w:type="spellStart"/>
      <w:r>
        <w:rPr>
          <w:rFonts w:eastAsia="Times New Roman"/>
          <w:sz w:val="24"/>
          <w:szCs w:val="24"/>
          <w:lang w:val="uk-UA" w:eastAsia="ru-RU"/>
        </w:rPr>
        <w:t>Сафарян</w:t>
      </w:r>
      <w:proofErr w:type="spellEnd"/>
      <w:r>
        <w:rPr>
          <w:rFonts w:eastAsia="Times New Roman"/>
          <w:sz w:val="24"/>
          <w:szCs w:val="24"/>
          <w:lang w:val="uk-UA" w:eastAsia="ru-RU"/>
        </w:rPr>
        <w:t xml:space="preserve"> Світлана Іванівна</w:t>
      </w:r>
    </w:p>
    <w:p w:rsidR="00833AAA" w:rsidRDefault="00833AAA" w:rsidP="00833AA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uk-UA" w:eastAsia="ru-RU"/>
        </w:rPr>
      </w:pPr>
      <w:r w:rsidRPr="00833AAA">
        <w:rPr>
          <w:rFonts w:eastAsia="Times New Roman"/>
          <w:sz w:val="24"/>
          <w:szCs w:val="24"/>
          <w:lang w:val="uk-UA" w:eastAsia="ru-RU"/>
        </w:rPr>
        <w:t>канд. пед. наук, доцент</w:t>
      </w:r>
    </w:p>
    <w:p w:rsidR="00833AAA" w:rsidRPr="00833AAA" w:rsidRDefault="00833AAA" w:rsidP="00833AA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uk-UA" w:eastAsia="ru-RU"/>
        </w:rPr>
      </w:pPr>
      <w:r w:rsidRPr="00833AAA">
        <w:rPr>
          <w:rFonts w:eastAsia="Times New Roman"/>
          <w:sz w:val="24"/>
          <w:szCs w:val="24"/>
          <w:lang w:val="uk-UA" w:eastAsia="ru-RU"/>
        </w:rPr>
        <w:t xml:space="preserve"> кафедри методики мов та літератури</w:t>
      </w:r>
    </w:p>
    <w:p w:rsidR="00833AAA" w:rsidRPr="00833AAA" w:rsidRDefault="00833AAA" w:rsidP="00833AA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uk-UA" w:eastAsia="ru-RU"/>
        </w:rPr>
      </w:pPr>
      <w:r w:rsidRPr="00833AAA">
        <w:rPr>
          <w:rFonts w:eastAsia="Times New Roman"/>
          <w:sz w:val="24"/>
          <w:szCs w:val="24"/>
          <w:lang w:val="uk-UA" w:eastAsia="ru-RU"/>
        </w:rPr>
        <w:t>ІППО Київського університету</w:t>
      </w:r>
    </w:p>
    <w:p w:rsidR="00833AAA" w:rsidRPr="00833AAA" w:rsidRDefault="00833AAA" w:rsidP="00833AAA">
      <w:pPr>
        <w:spacing w:before="100" w:beforeAutospacing="1" w:after="100" w:afterAutospacing="1"/>
        <w:jc w:val="right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uk-UA" w:eastAsia="ru-RU"/>
        </w:rPr>
        <w:t>імені Бориса Грінченка</w:t>
      </w:r>
    </w:p>
    <w:p w:rsidR="00833AAA" w:rsidRDefault="00833AAA" w:rsidP="00833AAA">
      <w:pPr>
        <w:spacing w:before="100" w:beforeAutospacing="1" w:after="100" w:afterAutospacing="1"/>
        <w:jc w:val="center"/>
        <w:rPr>
          <w:rFonts w:eastAsia="Times New Roman"/>
          <w:b/>
          <w:sz w:val="24"/>
          <w:szCs w:val="24"/>
          <w:lang w:val="uk-UA" w:eastAsia="ru-RU"/>
        </w:rPr>
      </w:pPr>
      <w:r w:rsidRPr="00833AAA">
        <w:rPr>
          <w:rFonts w:eastAsia="Times New Roman"/>
          <w:b/>
          <w:sz w:val="24"/>
          <w:szCs w:val="24"/>
          <w:lang w:val="uk-UA" w:eastAsia="ru-RU"/>
        </w:rPr>
        <w:t>Механізми розвитку творчого потенціалу педагогів у системі підвищення кваліфікації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val="uk-UA" w:eastAsia="ru-RU"/>
        </w:rPr>
      </w:pPr>
      <w:r w:rsidRPr="00833AAA">
        <w:rPr>
          <w:rFonts w:eastAsia="Times New Roman"/>
          <w:b/>
          <w:bCs/>
          <w:sz w:val="24"/>
          <w:szCs w:val="24"/>
          <w:lang w:val="uk-UA" w:eastAsia="ru-RU"/>
        </w:rPr>
        <w:t xml:space="preserve">Анотація: </w:t>
      </w:r>
      <w:r w:rsidRPr="00833AAA">
        <w:rPr>
          <w:rFonts w:eastAsia="Times New Roman"/>
          <w:sz w:val="24"/>
          <w:szCs w:val="24"/>
          <w:lang w:val="uk-UA" w:eastAsia="ru-RU"/>
        </w:rPr>
        <w:t>у статті розглянуто основні механізми розвитку творчих здібностей вчителя, обґрунтовано залежність формування творчої особистості учнів від рівня педагогічної майстерності вчителів; охарактеризовані основні форми роботи,методи та технології розвитку творчого потенціалу педагогів у системі післядипломної освіти.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Ключові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слова: </w:t>
      </w:r>
    </w:p>
    <w:p w:rsidR="00833AAA" w:rsidRDefault="00833AAA" w:rsidP="00833AAA">
      <w:pPr>
        <w:spacing w:before="100" w:beforeAutospacing="1" w:after="100" w:afterAutospacing="1"/>
        <w:rPr>
          <w:rFonts w:eastAsia="Times New Roman"/>
          <w:i/>
          <w:iCs/>
          <w:sz w:val="24"/>
          <w:szCs w:val="24"/>
          <w:lang w:val="uk-UA"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педагогічна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;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механізми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; </w:t>
      </w:r>
      <w:proofErr w:type="spellStart"/>
      <w:proofErr w:type="gramStart"/>
      <w:r w:rsidRPr="00833AAA">
        <w:rPr>
          <w:rFonts w:eastAsia="Times New Roman"/>
          <w:i/>
          <w:iCs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i/>
          <w:iCs/>
          <w:sz w:val="24"/>
          <w:szCs w:val="24"/>
          <w:lang w:eastAsia="ru-RU"/>
        </w:rPr>
        <w:t>івні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діяльності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b/>
          <w:bCs/>
          <w:sz w:val="24"/>
          <w:szCs w:val="24"/>
          <w:lang w:eastAsia="ru-RU"/>
        </w:rPr>
        <w:t>Развитие творческого потенциала педагогов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Аннотация: </w:t>
      </w:r>
      <w:r w:rsidRPr="00833AAA">
        <w:rPr>
          <w:rFonts w:eastAsia="Times New Roman"/>
          <w:sz w:val="24"/>
          <w:szCs w:val="24"/>
          <w:lang w:eastAsia="ru-RU"/>
        </w:rPr>
        <w:t xml:space="preserve">в статье рассмотрены основные механизмы развития творческих 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способностей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учителя; обоснована зависимость формирования творческой личности учащихся от уровня педагогического мастерства учителей; дана характеристика основным формам работы, методам и технологиям развития творческого потенциала педагогов в системе последипломного образования. </w:t>
      </w:r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Ключевые слова: </w:t>
      </w:r>
      <w:r w:rsidRPr="00833AAA">
        <w:rPr>
          <w:rFonts w:eastAsia="Times New Roman"/>
          <w:sz w:val="24"/>
          <w:szCs w:val="24"/>
          <w:lang w:eastAsia="ru-RU"/>
        </w:rPr>
        <w:t>творчество, творческие способности, механизмы развития творчества, урони творческой педагогической деятельности.</w:t>
      </w:r>
    </w:p>
    <w:p w:rsidR="00833AAA" w:rsidRPr="00833AAA" w:rsidRDefault="00833AAA" w:rsidP="00833AAA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val="en-US" w:eastAsia="ru-RU"/>
        </w:rPr>
      </w:pPr>
      <w:r w:rsidRPr="00833AAA">
        <w:rPr>
          <w:rFonts w:eastAsia="Times New Roman"/>
          <w:b/>
          <w:bCs/>
          <w:sz w:val="24"/>
          <w:szCs w:val="24"/>
          <w:lang w:val="en-US" w:eastAsia="ru-RU"/>
        </w:rPr>
        <w:t>Development of teachers’ creative potential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val="en-US" w:eastAsia="ru-RU"/>
        </w:rPr>
      </w:pPr>
      <w:r w:rsidRPr="00833AAA">
        <w:rPr>
          <w:rFonts w:eastAsia="Times New Roman"/>
          <w:b/>
          <w:bCs/>
          <w:sz w:val="24"/>
          <w:szCs w:val="24"/>
          <w:lang w:val="en-US" w:eastAsia="ru-RU"/>
        </w:rPr>
        <w:t xml:space="preserve">Summary: </w:t>
      </w:r>
      <w:r w:rsidRPr="00833AAA">
        <w:rPr>
          <w:rFonts w:eastAsia="Times New Roman"/>
          <w:sz w:val="24"/>
          <w:szCs w:val="24"/>
          <w:lang w:val="en-US" w:eastAsia="ru-RU"/>
        </w:rPr>
        <w:t>the article deals with the main mechanisms of teachers’ creative abilities development; motivates the dependence of pupils’ creative mind formation on the level of teachers’ skills; characterizes the main forms of work, methods and technologies of teachers’ creative potential development in the in-service teachers training system.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val="en-US" w:eastAsia="ru-RU"/>
        </w:rPr>
      </w:pPr>
      <w:r w:rsidRPr="00833AAA">
        <w:rPr>
          <w:rFonts w:eastAsia="Times New Roman"/>
          <w:b/>
          <w:bCs/>
          <w:sz w:val="24"/>
          <w:szCs w:val="24"/>
          <w:lang w:val="en-US" w:eastAsia="ru-RU"/>
        </w:rPr>
        <w:t xml:space="preserve">Key words: </w:t>
      </w:r>
      <w:r w:rsidRPr="00833AAA">
        <w:rPr>
          <w:rFonts w:eastAsia="Times New Roman"/>
          <w:sz w:val="24"/>
          <w:szCs w:val="24"/>
          <w:lang w:val="en-US" w:eastAsia="ru-RU"/>
        </w:rPr>
        <w:t>creation, creative abilities, pedagogical excellence, mechanisms of creation development, the levels of creative pedagogical work.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Сучасне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суспільство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потребує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високим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івнем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інтелектуального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креативних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можливостей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засвоєння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інновацій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будь-якій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галузі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завдання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покладено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насамперед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систему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Відповідно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сама система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потребує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принципово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ідходів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як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виховання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підростаючого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покоління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так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підготовки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удосконалення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кадрів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актуальною проблемою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післядипломної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активного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саморозвитку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самовдосконалення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високим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lastRenderedPageBreak/>
        <w:t>рівнем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здібностей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Адже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український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 xml:space="preserve"> В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Сухомлинський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зазначав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робота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вчителя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буденне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заштовхування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голови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учнів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готових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щоб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займатися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самому бути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людиною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.[4, с.171]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Науковці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трактують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здібності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як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сукупність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психічних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своїй</w:t>
      </w:r>
      <w:proofErr w:type="spellEnd"/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єдності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запорукою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успішного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розв’язання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нею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завдань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Тому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структури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здібностей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для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ефективної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належать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провідні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: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спостережливість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уява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пам’ять</w:t>
      </w:r>
      <w:proofErr w:type="spellEnd"/>
      <w:proofErr w:type="gram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мислення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цілеспрямованість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наполегливість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активна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життєва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позиція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Педагога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,</w:t>
      </w:r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833AAA">
        <w:rPr>
          <w:rFonts w:eastAsia="Times New Roman"/>
          <w:sz w:val="24"/>
          <w:szCs w:val="24"/>
          <w:lang w:eastAsia="ru-RU"/>
        </w:rPr>
        <w:t xml:space="preserve">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допомогти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розвинути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потенціал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ідготовки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професійної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протягом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Давньогрецький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філософ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Платон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влучно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зауважив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майстрами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народжуються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ними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стають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.[3, с.112] Головне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розумно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скористатися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механізмами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потенціалу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майстерність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постійно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формується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вдосконалюється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протягом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активної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Оволодіння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мистецтвом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виховання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учнів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доступне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кожному педагогу,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працює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покликанням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Учені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наголошують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продуктивному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мисленню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можливе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Так,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досл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ідник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проф.. В.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Загвязинський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стверджує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: «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вчителя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» [1,с.42]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виокремлюють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потенціалу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педагога:</w:t>
      </w:r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перенос; 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833AAA">
        <w:rPr>
          <w:rFonts w:eastAsia="Times New Roman"/>
          <w:sz w:val="24"/>
          <w:szCs w:val="24"/>
          <w:lang w:eastAsia="ru-RU"/>
        </w:rPr>
        <w:t>краще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перенесення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» С.С.)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наслідування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чутливість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енергопотенціал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>психомоторика;</w:t>
      </w:r>
    </w:p>
    <w:p w:rsidR="00833AAA" w:rsidRPr="00833AAA" w:rsidRDefault="00833AAA" w:rsidP="00833AA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мислення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b/>
          <w:bCs/>
          <w:sz w:val="24"/>
          <w:szCs w:val="24"/>
          <w:lang w:eastAsia="ru-RU"/>
        </w:rPr>
        <w:t>Перено</w:t>
      </w:r>
      <w:proofErr w:type="gramStart"/>
      <w:r w:rsidRPr="00833AAA">
        <w:rPr>
          <w:rFonts w:eastAsia="Times New Roman"/>
          <w:b/>
          <w:bCs/>
          <w:sz w:val="24"/>
          <w:szCs w:val="24"/>
          <w:lang w:eastAsia="ru-RU"/>
        </w:rPr>
        <w:t>с(</w:t>
      </w:r>
      <w:proofErr w:type="gram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ення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)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переважно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зумовлене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дією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перенесення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коли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вправляння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одній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галузі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бути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перенесене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іншу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галузь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Наслідування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зумовлене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дією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наслідування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основний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принцип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полягає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 тому,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наслідування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перспективного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досвіду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ідвищення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професійної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компетентності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впливає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розвиток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lastRenderedPageBreak/>
        <w:t>Чутливість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Чутливість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задаток,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дійсність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яка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матеріалізу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Інколи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задаток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залишається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чутливістю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тобто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відчуває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навіть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розуміє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проблему,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однак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розв’язати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її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Отже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перетворити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чутливість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дасть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змогу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виконати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реалізувати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природну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силу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Енергопотенціал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З</w:t>
      </w:r>
      <w:r w:rsidRPr="00833AAA">
        <w:rPr>
          <w:rFonts w:eastAsia="Times New Roman"/>
          <w:sz w:val="24"/>
          <w:szCs w:val="24"/>
          <w:lang w:eastAsia="ru-RU"/>
        </w:rPr>
        <w:t>датність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розумових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почуттєвих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)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обумовлена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енергопотенці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алом</w:t>
      </w:r>
      <w:proofErr w:type="spellEnd"/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Енергія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започатковує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будь-який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природний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передумовою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матер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іалізації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задумів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наявності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енергопотенціалу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залежить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активність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здоров’я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найбільше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для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Почуття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почуттях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відображено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все,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оточу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суб’єктивне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переживання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ставлення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них;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оцінювання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оточення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Дуже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багато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залежить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адже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вони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стійкими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утвореннями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основою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афектних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вольових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вчинків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Педагоги,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зруйнований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схильні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негативних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психічних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станів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b/>
          <w:bCs/>
          <w:sz w:val="24"/>
          <w:szCs w:val="24"/>
          <w:lang w:eastAsia="ru-RU"/>
        </w:rPr>
        <w:t>Психомоторика</w:t>
      </w:r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Психомоторика педагога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сприяє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виконанню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ним таких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функцій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як: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генерація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ізних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видів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енергії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думок,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образів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почуттів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регуляторів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поведінки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виявлення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мислити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відчувати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уявляти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) педагог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розкриває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свою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сутність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свою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індивідуальність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психомоторики 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мірою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можливостей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оволодінні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простором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часом.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Мислення</w:t>
      </w:r>
      <w:proofErr w:type="spell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Розвиток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мислення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чи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не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найважливішим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для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оскільки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виконує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основні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функції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, як:</w:t>
      </w:r>
    </w:p>
    <w:p w:rsidR="00833AAA" w:rsidRPr="00833AAA" w:rsidRDefault="00833AAA" w:rsidP="00833A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набуття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регулювання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досл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ідження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перев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ірки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контролю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критичної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оцінки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Отже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мислення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змогу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точно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відображати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образи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висловлювати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думки,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обумовлює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забезпечує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нового.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саме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роблять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відкриття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винаходи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постають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художні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образи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Завдяки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застосуванню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досягти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високих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результатів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Вони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будуть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дієвими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умови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залишається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наодинці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своїми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проблемами,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ідтримають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шляху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підвищення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рівня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професійної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компетенції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Інституті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післядипломної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далі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833AAA">
        <w:rPr>
          <w:rFonts w:eastAsia="Times New Roman"/>
          <w:sz w:val="24"/>
          <w:szCs w:val="24"/>
          <w:lang w:eastAsia="ru-RU"/>
        </w:rPr>
        <w:t xml:space="preserve">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інститут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).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lastRenderedPageBreak/>
        <w:t>Основним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завданням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методистів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викладачів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інституту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системі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ідвищення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кваліфікації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умов (у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курсовий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міжкурсовий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періоди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),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активують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перенесення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наслідування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найбільше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задіяні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тоді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коли педагог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бере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участь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авторських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проблемно-тематичних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курсів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семінарів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конференцій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груп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майстерень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; у конкурсах,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засіданнях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об’єднань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 у 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процесі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апробації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;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рецензуванні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навчально-методичної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літератури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 у 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розробленні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програм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проектів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 у 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ідготовці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учнів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олімпіад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конкурсів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захисту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наукових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досліджень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тощо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час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планування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організації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проведення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щодо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підвищення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кваліфікації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методисти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викладачі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інституту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часто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застосовують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самі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форми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методи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технології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роботі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з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учнями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: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бесіди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дискусії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тренінги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круглі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столи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майстер-класи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майстерні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конкурси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пошукові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експерименти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створення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портфоліо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проектну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діяльність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працю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дистанційне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індивідуальну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роботу.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Уся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система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педагогами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належить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так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званих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зовнішніх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чинників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внутрішніх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чинників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належить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сама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педагога: сила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характеру,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розвитку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інтелектуальних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здібностей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рівень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креативності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полягає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приймати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нестандартні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рішення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висловлювати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оригінальні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ідеї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швидко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знаходити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вихід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із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проблемних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ситуацій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системі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іслядипломної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допомогти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заповнити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певні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прогалини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професійних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знаннях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також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постійно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працювати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над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удосконаленням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палітри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При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цьому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кожному педагогу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потрібно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допомагати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розвивати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лише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вміння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скористатися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досвідом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колег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Тобто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варто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доводити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«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механізм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наслідування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»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логічного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завершення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 не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зупинятися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етапі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копіювання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Потрібно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донести до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навіть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найоригінальніші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методичні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новації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розробки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колег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потребують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творчого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засвоєння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унаслідок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постає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Для того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щоб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викладач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інституту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допоміг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сформувати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знати </w:t>
      </w:r>
      <w:proofErr w:type="spellStart"/>
      <w:proofErr w:type="gramStart"/>
      <w:r w:rsidRPr="00833AAA">
        <w:rPr>
          <w:rFonts w:eastAsia="Times New Roman"/>
          <w:b/>
          <w:bCs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b/>
          <w:bCs/>
          <w:sz w:val="24"/>
          <w:szCs w:val="24"/>
          <w:lang w:eastAsia="ru-RU"/>
        </w:rPr>
        <w:t>івні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сучасний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вітчизняний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учений-педагог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Світлана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Сисоєва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виокремила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чотири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рівні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:</w:t>
      </w:r>
    </w:p>
    <w:p w:rsidR="00833AAA" w:rsidRPr="00833AAA" w:rsidRDefault="00833AAA" w:rsidP="00833A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репродуктивний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833AAA">
        <w:rPr>
          <w:rFonts w:eastAsia="Times New Roman"/>
          <w:sz w:val="24"/>
          <w:szCs w:val="24"/>
          <w:lang w:eastAsia="ru-RU"/>
        </w:rPr>
        <w:t xml:space="preserve">— робота 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на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основі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вироблених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методик,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рекомендацій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досвіду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тощо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;</w:t>
      </w:r>
    </w:p>
    <w:p w:rsidR="00833AAA" w:rsidRPr="00833AAA" w:rsidRDefault="00833AAA" w:rsidP="00833A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раціоналізаторський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> —</w:t>
      </w:r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удосконалення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модернізування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певних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елементів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існуючих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методик,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рекомендацій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відповідно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конкретних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умов;</w:t>
      </w:r>
    </w:p>
    <w:p w:rsidR="00833AAA" w:rsidRPr="00833AAA" w:rsidRDefault="00833AAA" w:rsidP="00833A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lastRenderedPageBreak/>
        <w:t>конструкторський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конструювання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власних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найоптимальніших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варіантів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розв’язання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проблем;</w:t>
      </w:r>
    </w:p>
    <w:p w:rsidR="00833AAA" w:rsidRPr="00833AAA" w:rsidRDefault="00833AAA" w:rsidP="00833AA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i/>
          <w:iCs/>
          <w:sz w:val="24"/>
          <w:szCs w:val="24"/>
          <w:lang w:eastAsia="ru-RU"/>
        </w:rPr>
        <w:t>новаторський</w:t>
      </w:r>
      <w:proofErr w:type="spellEnd"/>
      <w:r w:rsidRPr="00833AAA">
        <w:rPr>
          <w:rFonts w:eastAsia="Times New Roman"/>
          <w:i/>
          <w:iCs/>
          <w:sz w:val="24"/>
          <w:szCs w:val="24"/>
          <w:lang w:eastAsia="ru-RU"/>
        </w:rPr>
        <w:t xml:space="preserve"> —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розв’язання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проблем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принципово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нових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засадах,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вирізняються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новизною,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оригінальністю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високою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результативністю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.[5, с. 146]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педагогами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враховувати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їхній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умінь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щоб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визначити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конкретно,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чому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їм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потрібно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вдосконалюватися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При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цьому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замало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просто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орієнтуватися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кваліфікаційну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категорію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вчителя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Адже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серед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молодих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спеціалі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ст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справжні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таланти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значним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потенціалом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Необхідно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діагностувати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b/>
          <w:bCs/>
          <w:sz w:val="24"/>
          <w:szCs w:val="24"/>
          <w:lang w:eastAsia="ru-RU"/>
        </w:rPr>
        <w:t>р</w:t>
      </w:r>
      <w:proofErr w:type="gramEnd"/>
      <w:r w:rsidRPr="00833AAA">
        <w:rPr>
          <w:rFonts w:eastAsia="Times New Roman"/>
          <w:b/>
          <w:bCs/>
          <w:sz w:val="24"/>
          <w:szCs w:val="24"/>
          <w:lang w:eastAsia="ru-RU"/>
        </w:rPr>
        <w:t>івень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Pr="00833AA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b/>
          <w:bCs/>
          <w:sz w:val="24"/>
          <w:szCs w:val="24"/>
          <w:lang w:eastAsia="ru-RU"/>
        </w:rPr>
        <w:t>педагогів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Зокрема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зробити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через систему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тестування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анкетування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урахування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напрацювань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участі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конкурсах,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курсів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груп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майстерень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Зрештою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щоб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сформувати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здатного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потрібно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тим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хто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відійти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від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шаблонів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застарілих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ідходів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організації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проведення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методичної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роботи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добирати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нові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оригінальні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Визначний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 А. Макаренко,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вважаючи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можна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навчити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людину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бути педагогом,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зазначав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передовсім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буде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полягати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«в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організації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характеру педагога,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поведінки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потім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– в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організації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його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спеціальних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знань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та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навичок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без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яких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жоден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учитель не буде хорошим учителем» [2, с. 162]</w:t>
      </w:r>
      <w:proofErr w:type="gramEnd"/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педагога –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це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щодення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І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зрозуміло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якщо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є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бажання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навчатися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, то педагог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постійно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буде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працювати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над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ідвищенням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рівня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своєї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професійної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компетентності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>ДЖЕРЕЛА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Загвязинський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В.І.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Деякі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нетрадиційні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погляди на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/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В.І.Загвязинський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//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Обдарована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дитина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 – 2006. - № 5. – С.40 – 43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>Макаренко А.С. Твори в 7-ми Т./ А. С. Макаренко. – К.: Рад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ш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., 1953 – 55., Т.5 – С.162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>Слово о книге. Афоризмы. Изречения. Литературные цитаты. – М., 1994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Сухомлинский В. А. Как воспитать настоящего человека/ В.А.Сухомлинский. – К.: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Рад</w:t>
      </w:r>
      <w:proofErr w:type="gramStart"/>
      <w:r w:rsidRPr="00833AAA">
        <w:rPr>
          <w:rFonts w:eastAsia="Times New Roman"/>
          <w:sz w:val="24"/>
          <w:szCs w:val="24"/>
          <w:lang w:eastAsia="ru-RU"/>
        </w:rPr>
        <w:t>.ш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к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., 1975, - С. 171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spellStart"/>
      <w:r w:rsidRPr="00833AAA">
        <w:rPr>
          <w:rFonts w:eastAsia="Times New Roman"/>
          <w:sz w:val="24"/>
          <w:szCs w:val="24"/>
          <w:lang w:eastAsia="ru-RU"/>
        </w:rPr>
        <w:t>Сисоєва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С. О. </w:t>
      </w:r>
      <w:proofErr w:type="spellStart"/>
      <w:proofErr w:type="gramStart"/>
      <w:r w:rsidRPr="00833AAA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833AAA">
        <w:rPr>
          <w:rFonts w:eastAsia="Times New Roman"/>
          <w:sz w:val="24"/>
          <w:szCs w:val="24"/>
          <w:lang w:eastAsia="ru-RU"/>
        </w:rPr>
        <w:t>ідготовка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вчителя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до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формування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творчої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особистості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учня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: [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монографія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]/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С.О.Сисоєва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. – К.: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Поліграфкнига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, 1996, - 406с.</w:t>
      </w:r>
    </w:p>
    <w:p w:rsidR="00833AAA" w:rsidRPr="00833AAA" w:rsidRDefault="00833AAA" w:rsidP="00833AAA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833AAA">
        <w:rPr>
          <w:rFonts w:eastAsia="Times New Roman"/>
          <w:sz w:val="24"/>
          <w:szCs w:val="24"/>
          <w:lang w:eastAsia="ru-RU"/>
        </w:rPr>
        <w:t xml:space="preserve">Щербань П.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Сутність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педагогічної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культури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/ Петро Щербань//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Вища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освіта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833AAA">
        <w:rPr>
          <w:rFonts w:eastAsia="Times New Roman"/>
          <w:sz w:val="24"/>
          <w:szCs w:val="24"/>
          <w:lang w:eastAsia="ru-RU"/>
        </w:rPr>
        <w:t>України</w:t>
      </w:r>
      <w:proofErr w:type="spellEnd"/>
      <w:r w:rsidRPr="00833AAA">
        <w:rPr>
          <w:rFonts w:eastAsia="Times New Roman"/>
          <w:sz w:val="24"/>
          <w:szCs w:val="24"/>
          <w:lang w:eastAsia="ru-RU"/>
        </w:rPr>
        <w:t>. 2004 - № 3. – С 67 – 71</w:t>
      </w: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val="en-US" w:eastAsia="ru-RU"/>
        </w:rPr>
      </w:pPr>
    </w:p>
    <w:p w:rsidR="00833AAA" w:rsidRPr="00833AAA" w:rsidRDefault="00833AAA" w:rsidP="00833AAA">
      <w:pPr>
        <w:spacing w:before="100" w:beforeAutospacing="1" w:after="100" w:afterAutospacing="1"/>
        <w:rPr>
          <w:rFonts w:eastAsia="Times New Roman"/>
          <w:sz w:val="24"/>
          <w:szCs w:val="24"/>
          <w:lang w:val="en-US" w:eastAsia="ru-RU"/>
        </w:rPr>
      </w:pPr>
    </w:p>
    <w:p w:rsidR="00FE6A46" w:rsidRPr="00833AAA" w:rsidRDefault="00FE6A46">
      <w:pPr>
        <w:rPr>
          <w:lang w:val="en-US"/>
        </w:rPr>
      </w:pPr>
    </w:p>
    <w:sectPr w:rsidR="00FE6A46" w:rsidRPr="00833AAA" w:rsidSect="00FE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290"/>
    <w:multiLevelType w:val="multilevel"/>
    <w:tmpl w:val="34F0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E55C2"/>
    <w:multiLevelType w:val="multilevel"/>
    <w:tmpl w:val="873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950B0"/>
    <w:multiLevelType w:val="multilevel"/>
    <w:tmpl w:val="4BA8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A6478"/>
    <w:multiLevelType w:val="multilevel"/>
    <w:tmpl w:val="4504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310B7"/>
    <w:multiLevelType w:val="multilevel"/>
    <w:tmpl w:val="CE1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C0CC2"/>
    <w:multiLevelType w:val="multilevel"/>
    <w:tmpl w:val="45F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AAA"/>
    <w:rsid w:val="00330EE0"/>
    <w:rsid w:val="00424F46"/>
    <w:rsid w:val="007C6576"/>
    <w:rsid w:val="00833AAA"/>
    <w:rsid w:val="00FE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AA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AAA"/>
    <w:rPr>
      <w:b/>
      <w:bCs/>
    </w:rPr>
  </w:style>
  <w:style w:type="character" w:styleId="a5">
    <w:name w:val="Emphasis"/>
    <w:basedOn w:val="a0"/>
    <w:uiPriority w:val="20"/>
    <w:qFormat/>
    <w:rsid w:val="00833A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1695</Words>
  <Characters>9666</Characters>
  <Application>Microsoft Office Word</Application>
  <DocSecurity>0</DocSecurity>
  <Lines>80</Lines>
  <Paragraphs>22</Paragraphs>
  <ScaleCrop>false</ScaleCrop>
  <Company>Krokoz™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2015-04-17T11:05:00Z</dcterms:created>
  <dcterms:modified xsi:type="dcterms:W3CDTF">2015-04-17T11:08:00Z</dcterms:modified>
</cp:coreProperties>
</file>