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21" w:rsidRDefault="002315C6" w:rsidP="00C32821">
      <w:pPr>
        <w:spacing w:line="360" w:lineRule="auto"/>
        <w:ind w:right="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Софій</w:t>
      </w:r>
      <w:proofErr w:type="spellEnd"/>
      <w:r w:rsidR="00C32821">
        <w:rPr>
          <w:rFonts w:ascii="Times New Roman" w:hAnsi="Times New Roman" w:cs="Times New Roman"/>
          <w:sz w:val="28"/>
          <w:szCs w:val="28"/>
          <w:lang w:val="uk-UA"/>
        </w:rPr>
        <w:t xml:space="preserve"> Н.З.</w:t>
      </w:r>
    </w:p>
    <w:p w:rsidR="002315C6" w:rsidRDefault="00C32821" w:rsidP="00C32821">
      <w:pPr>
        <w:spacing w:line="360" w:lineRule="auto"/>
        <w:ind w:right="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15C6">
        <w:rPr>
          <w:rFonts w:ascii="Times New Roman" w:hAnsi="Times New Roman" w:cs="Times New Roman"/>
          <w:sz w:val="28"/>
          <w:szCs w:val="28"/>
          <w:lang w:val="uk-UA"/>
        </w:rPr>
        <w:t>авідувач науково-методичним центром</w:t>
      </w:r>
    </w:p>
    <w:p w:rsidR="002315C6" w:rsidRDefault="00C32821" w:rsidP="00C32821">
      <w:pPr>
        <w:spacing w:line="360" w:lineRule="auto"/>
        <w:ind w:right="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15C6">
        <w:rPr>
          <w:rFonts w:ascii="Times New Roman" w:hAnsi="Times New Roman" w:cs="Times New Roman"/>
          <w:sz w:val="28"/>
          <w:szCs w:val="28"/>
          <w:lang w:val="uk-UA"/>
        </w:rPr>
        <w:t>нклюзивної освіти</w:t>
      </w:r>
    </w:p>
    <w:p w:rsidR="002315C6" w:rsidRDefault="002315C6" w:rsidP="00C32821">
      <w:pPr>
        <w:spacing w:line="360" w:lineRule="auto"/>
        <w:ind w:right="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Інституту післядипломної педагогічної освіти</w:t>
      </w:r>
    </w:p>
    <w:p w:rsidR="002315C6" w:rsidRDefault="002315C6" w:rsidP="00C32821">
      <w:pPr>
        <w:spacing w:line="360" w:lineRule="auto"/>
        <w:ind w:right="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2315C6" w:rsidRPr="000117F9" w:rsidRDefault="00C32821" w:rsidP="00C32821">
      <w:pPr>
        <w:spacing w:line="360" w:lineRule="auto"/>
        <w:ind w:left="170" w:right="85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A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117F9">
        <w:rPr>
          <w:rFonts w:ascii="Times New Roman" w:hAnsi="Times New Roman" w:cs="Times New Roman"/>
          <w:b/>
          <w:sz w:val="28"/>
          <w:szCs w:val="28"/>
          <w:lang w:val="uk-UA"/>
        </w:rPr>
        <w:t>Основні види і моделі надання додаткової підтримки дітям з особливими освітніми потребами в умовах загальноосвітнього навчального закладу</w:t>
      </w:r>
    </w:p>
    <w:p w:rsidR="005A2132" w:rsidRPr="000117F9" w:rsidRDefault="005A2132" w:rsidP="00B53A2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  <w:lang w:val="uk-UA"/>
        </w:rPr>
      </w:pPr>
      <w:r w:rsidRPr="000117F9">
        <w:rPr>
          <w:rFonts w:ascii="Times New Roman" w:hAnsi="Times New Roman" w:cs="Times New Roman"/>
          <w:sz w:val="28"/>
          <w:szCs w:val="28"/>
          <w:lang w:val="uk-UA"/>
        </w:rPr>
        <w:t>У статті розглянуто основні види і моделі надання додаткової підтримки дітям з особливими освітніми потребами в умовах інклюзивного навчального закладу. В ра</w:t>
      </w:r>
      <w:r w:rsidR="00B53A2F" w:rsidRPr="000117F9">
        <w:rPr>
          <w:rFonts w:ascii="Times New Roman" w:hAnsi="Times New Roman" w:cs="Times New Roman"/>
          <w:sz w:val="28"/>
          <w:szCs w:val="28"/>
          <w:lang w:val="uk-UA"/>
        </w:rPr>
        <w:t xml:space="preserve">мках командної моделі описано </w:t>
      </w:r>
      <w:r w:rsidRPr="000117F9">
        <w:rPr>
          <w:rFonts w:ascii="Times New Roman" w:hAnsi="Times New Roman" w:cs="Times New Roman"/>
          <w:sz w:val="28"/>
          <w:szCs w:val="28"/>
          <w:lang w:val="uk-UA"/>
        </w:rPr>
        <w:t xml:space="preserve"> різні види команд. Розкрито значення моделі загальної підтримки навчальних закладів як </w:t>
      </w:r>
      <w:r w:rsidR="00B53A2F" w:rsidRPr="000117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17F9">
        <w:rPr>
          <w:rFonts w:ascii="Times New Roman" w:hAnsi="Times New Roman" w:cs="Times New Roman"/>
          <w:sz w:val="28"/>
          <w:szCs w:val="28"/>
          <w:lang w:val="uk-UA"/>
        </w:rPr>
        <w:t>мови створення сприятливих умов для всіх учасників освітнього процесу.</w:t>
      </w:r>
    </w:p>
    <w:p w:rsidR="002315C6" w:rsidRPr="000117F9" w:rsidRDefault="005A2132" w:rsidP="00B53A2F">
      <w:pPr>
        <w:spacing w:line="240" w:lineRule="auto"/>
        <w:ind w:left="170" w:right="85"/>
        <w:rPr>
          <w:rFonts w:ascii="Times New Roman" w:hAnsi="Times New Roman" w:cs="Times New Roman"/>
          <w:sz w:val="28"/>
          <w:szCs w:val="28"/>
          <w:lang w:val="uk-UA"/>
        </w:rPr>
      </w:pPr>
      <w:r w:rsidRPr="000117F9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0117F9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інклюзивна освіта, діти з особливими освітніми потребами, командна модель, професійне співробітництво.</w:t>
      </w:r>
    </w:p>
    <w:p w:rsidR="002315C6" w:rsidRPr="0000440E" w:rsidRDefault="002315C6" w:rsidP="002315C6">
      <w:pPr>
        <w:spacing w:line="360" w:lineRule="auto"/>
        <w:ind w:left="170" w:right="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якісної освіти для дітей з особливими освітніми потребами на базі загальноосвітніх навчальних закладів передбачає надання додаткової підтримки, метою якої є допомога цим дітям в отриманні доступу до загальної навчальної програми та отриманні всіх можливих переваг від навчання спільно зі своїми однолітками за місцем проживання. Визначальним у цьому є поняття </w:t>
      </w:r>
      <w:r w:rsidRPr="0000440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додаткової підтримки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>, яку окремі дослідники визначають як спеціальну освіту</w:t>
      </w:r>
      <w:r w:rsidR="00F61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E3A" w:rsidRPr="00F61E3A">
        <w:rPr>
          <w:rFonts w:ascii="Times New Roman" w:hAnsi="Times New Roman" w:cs="Times New Roman"/>
          <w:sz w:val="28"/>
          <w:szCs w:val="28"/>
        </w:rPr>
        <w:t>[</w:t>
      </w:r>
      <w:r w:rsidR="005A2132">
        <w:rPr>
          <w:rFonts w:ascii="Times New Roman" w:hAnsi="Times New Roman" w:cs="Times New Roman"/>
          <w:sz w:val="28"/>
          <w:szCs w:val="28"/>
        </w:rPr>
        <w:t>5</w:t>
      </w:r>
      <w:r w:rsidR="00F61E3A" w:rsidRPr="00F61E3A">
        <w:rPr>
          <w:rFonts w:ascii="Times New Roman" w:hAnsi="Times New Roman" w:cs="Times New Roman"/>
          <w:sz w:val="28"/>
          <w:szCs w:val="28"/>
        </w:rPr>
        <w:t>]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>. На основі дослідження Організації економічної співпраці та розвитку (</w:t>
      </w:r>
      <w:r w:rsidRPr="0000440E">
        <w:rPr>
          <w:rFonts w:ascii="Times New Roman" w:hAnsi="Times New Roman" w:cs="Times New Roman"/>
          <w:sz w:val="28"/>
          <w:szCs w:val="28"/>
          <w:lang w:val="en-US"/>
        </w:rPr>
        <w:t>OEC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>Р) вважається, що «діти з особливими освітніми потребами визначаються на підставі необхідності надання додаткової підтримки у процесі їхнього навчання, що забезпечується з</w:t>
      </w:r>
      <w:r w:rsidR="00421AC8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чи приватних джерел»</w:t>
      </w:r>
      <w:r w:rsidR="00F61E3A" w:rsidRPr="00F61E3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342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1E3A" w:rsidRPr="00F61E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21AC8" w:rsidRPr="00421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У цьому визначенні наголошується як на ролі додаткової підтримки, так і можливості чи необхідності її забезпечення з різних джерел. Водночас зазначається, що додаткову підтримку або додаткові ресурси слід розуміти 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додаткові до тих ресурсів, що зазвичай надаються загальноосвітнім навчальним закладом усім учням, які в ньому навчаються.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Серед додаткових ресурсів розрізняють людські, матеріальні та фінансові ресурси. 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людських ресурсів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 співвідношення кількості дітей до чисельності педагогів, які працюють з ними; наявність додаткових педагогів, асистента вчителя та інших фахівців. До людських ресурсів також відносять наявність навчальних програм для педагогів та іншого персоналу, спрямованих на їхню підготовку до роботи з дітьми з особливими освітніми потребами. 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Матеріальні ресурси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різні види допоміжних засобів навчання, як наприклад, слухові апарати, модифікації та адаптації у навчальному середовищі, спеціальні навчальні матеріали тощо.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Фінансові ресурси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наявність відповідної формули, що дає можливість додаткового фінансування дітей з особливими освітніми потребами чи класів, у яких вони навчаються; систему фінансування з плануванням окремих коштів на навчання дітей з особливими освітніми потребами в рамках загального бюджету; а також вартість персоналу та матеріальних ресурсів.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Більшість міжнародних дослідників розрізняє три основні модел</w:t>
      </w:r>
      <w:r w:rsidR="00F61E3A">
        <w:rPr>
          <w:rFonts w:ascii="Times New Roman" w:hAnsi="Times New Roman" w:cs="Times New Roman"/>
          <w:sz w:val="28"/>
          <w:szCs w:val="28"/>
          <w:lang w:val="uk-UA"/>
        </w:rPr>
        <w:t>і надання додаткової підтримки [</w:t>
      </w:r>
      <w:r w:rsidR="00421AC8" w:rsidRPr="00421AC8">
        <w:rPr>
          <w:rFonts w:ascii="Times New Roman" w:hAnsi="Times New Roman" w:cs="Times New Roman"/>
          <w:sz w:val="28"/>
          <w:szCs w:val="28"/>
          <w:lang w:val="uk-UA"/>
        </w:rPr>
        <w:t>4, 117-127</w:t>
      </w:r>
      <w:r w:rsidR="00F61E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15C6" w:rsidRPr="0000440E" w:rsidRDefault="002315C6" w:rsidP="002315C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Модель фахової допомоги.</w:t>
      </w:r>
    </w:p>
    <w:p w:rsidR="002315C6" w:rsidRPr="0000440E" w:rsidRDefault="002315C6" w:rsidP="002315C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Командна модель.</w:t>
      </w:r>
    </w:p>
    <w:p w:rsidR="002315C6" w:rsidRPr="0000440E" w:rsidRDefault="002315C6" w:rsidP="002315C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Модель загальної підтримки навчальних закладів.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Модель фахової підтримки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підтримку додаткових фахівців, які беруть на себе відповідальність за роботу з дитиною з особливими освітніми потребами і відіграють в ній провідну роль. Додатковими фахівцями у цьому випадку є логопеди, психологи, сурдопедагоги,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реабілітологи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, тифлопедагоги та інші. Часто такі фахівці працюють поза межами навчального закладу. Фахівці беруть на себе відповідальність за формування змісту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навчально-корекційної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роботи і відіграють основну роль у цьому процесі. За такого підходу оцінювання навчальних досягнень учнів з особливими освітніми потребами може базуватися на діагностичних тестах, які можуть не узгоджуватися з діючою навчальною програмою і діючими критеріями оцінювання. Рекомендації, що надаються фахівцями, мають 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індивідуальну спрямованість і є вузько спеціалізованими, а методи навчання дітей з особливими освітніми потребами можуть суттєво відрізнятися від методів навчання, які використовуються у роботі з усіма учнями. 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модель фахової підтримки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зазвичай використовується у роботі з учнями, яких відносять до категорії учнів з порушеннями психофізичного розвитку, при її використанні переважають терміни з акцентом на дефіциті тих чи інших якостей (наприклад, «фізичні вади розвитку», «порушення розвитку, пов’язані з дефіцитом уваги», «розумові вади», «неблагополучні сім’ї» та ін.). Усе це відображається у документації навчального закладу, особових справах учнів, класних журналах, озвучується на педагогічних нарадах тощо. Така термінологія традиційно використовується у спеціальній освіті і базується на переконанні, що труднощі у навчанні пов’язані з порушеннями розвитку дитини, а не з навчальним середовищем. При використанні моделі фахової підтримки часто виникають фізичні та соціальні «кордони», які ізолюють учнів від їхніх однолітків, а також від загальної навчальної програми. Це, у свою чергу, перетворює учнів з особливими освітніми потребами на об’єкти, які потребують корекції, що здійснюється педагогами спеціальної освіти за допомогою особливих методів викладання. 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Будь-яка модель підтримки, що базується лише на діагностичній категоризації, ймовірніше, буде стикатися з іншими труднощами, оскільки окремі діти можуть мати особливі потреби, хоча не відноситися до офіційно усталених категорій дітей з порушеннями розвитку – наприклад, діти, які страждають на ожиріння, цукровий діабет тощо.</w:t>
      </w:r>
    </w:p>
    <w:p w:rsidR="002315C6" w:rsidRPr="0000440E" w:rsidRDefault="002315C6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Тому, можна стверджувати, що модель фахової допомоги не повністю відповідає принципам інклюзії, оскільки вона більше зосереджена на діагнозі дитини і рекомендаціях фахівців, які брали участь в оцінці розвитку дитини та встановленні діагнозу. Іншими словами, модель фахової допомоги більше відповідає медичній, а не соціальній моделі розуміння інвалідності.</w:t>
      </w:r>
    </w:p>
    <w:p w:rsidR="002315C6" w:rsidRDefault="002315C6" w:rsidP="002315C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Іншою моделлю забезпечення додаткової підтримки, зокрема підтримки фахівців, є </w:t>
      </w:r>
      <w:r w:rsidRPr="0000440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командна модель</w:t>
      </w: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відміну від моделі фахової підтримки, за якої окремі залучені фахівці працюють з окремими дітьми, модель командного підходу передбачає роботу додаткових фахівців спільно з педагогами, які працюють з дітьми з особливими освітніми потребами, а також з батьками цих дітей. </w:t>
      </w:r>
    </w:p>
    <w:p w:rsidR="002315C6" w:rsidRPr="00421AC8" w:rsidRDefault="003F0FC4" w:rsidP="003F0FC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основі командної моделі лежить </w:t>
      </w:r>
      <w:r w:rsidRPr="003F0FC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професійне співробітництво (співпраця)</w:t>
      </w:r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передбачає взаємодію представників однієї або різних </w:t>
      </w:r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професій, які виконують комплекс взаємопов’язаної, технологічно схожої або відмінної роботи. Професійне співробітництво також трактується як результат задоволення потреби у взаємодії, що передбачає організацію людьми взаємозалежних дій, спрямованих на</w:t>
      </w:r>
      <w:r w:rsidR="00421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реалізацію спільної діяльності </w:t>
      </w:r>
      <w:r w:rsidR="00421AC8" w:rsidRPr="00421AC8">
        <w:rPr>
          <w:rFonts w:ascii="Times New Roman" w:eastAsia="Times New Roman" w:hAnsi="Times New Roman" w:cs="Times New Roman"/>
          <w:sz w:val="28"/>
          <w:szCs w:val="28"/>
          <w:lang w:val="uk-UA"/>
        </w:rPr>
        <w:t>[1].</w:t>
      </w:r>
    </w:p>
    <w:p w:rsidR="002315C6" w:rsidRDefault="00D34214" w:rsidP="00231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зазначають </w:t>
      </w:r>
      <w:r w:rsidR="002315C6" w:rsidRPr="0000440E">
        <w:rPr>
          <w:rFonts w:ascii="Times New Roman" w:hAnsi="Times New Roman" w:cs="Times New Roman"/>
          <w:sz w:val="28"/>
          <w:szCs w:val="28"/>
          <w:lang w:val="uk-UA"/>
        </w:rPr>
        <w:t>дослідники, співпраця – це не лише спільна робота кількох фахівців, а процес, у якому фахівці з різним досвідом визначають потреби та знаходять способи їх забезпечення. Співпраця також часто описується як процес, що дає можливість фахівцям з різним досвідом та експертизою працювати разом над досягненням спільної мети. При цьому основними характеристиками ефективної співпраці є бажання і добра воля її учасників працювати над досягненням спільної мети, відповідати за кінцеві результати та цінувати внесок кожного учасника. Ефективна співпраця характеризується також довірою і залученням усіх учасників цього процесу до вирішення проблем. Інші характеристики ефективної співпраці містять чітке та погоджене усіма членами команди бачення майбутнього для дитини; відданість ідеї спільної роботи</w:t>
      </w:r>
      <w:r w:rsidR="002315C6" w:rsidRPr="0000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315C6" w:rsidRPr="0000440E">
        <w:rPr>
          <w:rFonts w:ascii="Times New Roman" w:hAnsi="Times New Roman" w:cs="Times New Roman"/>
          <w:sz w:val="28"/>
          <w:szCs w:val="28"/>
          <w:lang w:val="uk-UA"/>
        </w:rPr>
        <w:t>різні перспективи і здібності збільшують ефективність команди; взаємозалежність</w:t>
      </w:r>
      <w:r w:rsidR="002315C6" w:rsidRPr="0000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315C6" w:rsidRPr="0000440E">
        <w:rPr>
          <w:rFonts w:ascii="Times New Roman" w:hAnsi="Times New Roman" w:cs="Times New Roman"/>
          <w:sz w:val="28"/>
          <w:szCs w:val="28"/>
          <w:lang w:val="uk-UA"/>
        </w:rPr>
        <w:t>що передбачає</w:t>
      </w:r>
      <w:r w:rsidR="002315C6" w:rsidRPr="0000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5C6" w:rsidRPr="0000440E">
        <w:rPr>
          <w:rFonts w:ascii="Times New Roman" w:hAnsi="Times New Roman" w:cs="Times New Roman"/>
          <w:sz w:val="28"/>
          <w:szCs w:val="28"/>
          <w:lang w:val="uk-UA"/>
        </w:rPr>
        <w:t>визначення спільних цілей, розуміння і цінування унікальності внеску кожного з членів команди. Усі ці характеристики передбачають с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пільну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>, коли</w:t>
      </w:r>
      <w:r w:rsidR="002315C6" w:rsidRPr="00004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звітуються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C6" w:rsidRPr="0000440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2315C6" w:rsidRPr="0000440E">
        <w:rPr>
          <w:rFonts w:ascii="Times New Roman" w:hAnsi="Times New Roman" w:cs="Times New Roman"/>
          <w:sz w:val="28"/>
          <w:szCs w:val="28"/>
        </w:rPr>
        <w:t>.</w:t>
      </w:r>
    </w:p>
    <w:p w:rsidR="00C32821" w:rsidRPr="0000440E" w:rsidRDefault="00C32821" w:rsidP="00C328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t>У контексті інклюзивного навчання в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иділяють три основні моделі формування команд: 1)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мультидисциплінарна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, 2)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інтердисциплінарна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, і 3)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821" w:rsidRPr="0000440E" w:rsidRDefault="00C32821" w:rsidP="00C3282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Мультидисциплінарна</w:t>
      </w:r>
      <w:proofErr w:type="spellEnd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команда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медичній моделі розуміння інвалідності і передбачає, що фахівці з різних сфер обмінюються своїми спостереженнями та результатами роботи над досягненням спільної мети. Водночас, кожен фахівець працює окремо при оцінюванні розвитку дитини, плануванні роботи з нею та безпосередній роботі з дитиною. Така команда відповідає </w:t>
      </w:r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моделі фахової допомоги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додаткової підтримки, що згадувалась вище.</w:t>
      </w:r>
    </w:p>
    <w:p w:rsidR="00C32821" w:rsidRPr="0000440E" w:rsidRDefault="00C32821" w:rsidP="00C3282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Інтердисциплінарна</w:t>
      </w:r>
      <w:proofErr w:type="spellEnd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команда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також складається з різних фахівців, проте у роботі такої команди більше уваги спрямовано на координацію інформації та послуг. Хоча у роботі такої команди різні фахівці працюють окремо у таких аспектах, як оцінювання розвитку дитини, планування та безпосередня робота з дитиною, результати такої роботи є більш комплексними, оскільки відбувається частіший обмін інформацією і менше 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дублювання дій. Проте, такий тип команди все ще передбачає роботу окремих фахівців з дитиною, як у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мультидисциплінарній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команді. </w:t>
      </w:r>
    </w:p>
    <w:p w:rsidR="00C32821" w:rsidRPr="0000440E" w:rsidRDefault="00C32821" w:rsidP="00C3282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>Трансдисциплінарна</w:t>
      </w:r>
      <w:proofErr w:type="spellEnd"/>
      <w:r w:rsidRPr="00004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команда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може складатися з різних фахівців і батьків дитини з особливими освітніми потребами, які можуть змінювати свої ролі під час оцінювання розвитку дитини, планування та безпосередньої роботи з нею. Це одна з найбільш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співпрацюючих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типів команд, у якій її члени зосереджуються на взаємопов’язаних і множинних потребах дитини та її сім’ї. Члени сім’ї та фахівці співпрацюють, щоб забезпечити інтеграцію завдань і результатів.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команда зосереджується на униканні дублювання зусиль і на активній участі сім’ї. Важливою характеристикою такого типу команди є постійна комунікація її членів, у тому числі членів сім’ї. Усі члени команди працюють разом і навчаються один в одного під час досягнення спільних цілей і завдань. Це вимагає від кожного члена команди бажання ділитися своїми знаннями та набувати нових навичок. Саме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команда рекомендується як найбільш ефективний тип команди у роботі з дітьми з особливими освітніми потребами, оскільки вона забезпечує такі результати, як уникання дублювання послуг; цілісне бачення розвитку дитини; бачення сім’ї як рівноправного члена команди.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Трансдисциплінарна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команда передбачає співпрацю усіх її членів. </w:t>
      </w:r>
    </w:p>
    <w:p w:rsidR="00C32821" w:rsidRPr="0000440E" w:rsidRDefault="00C32821" w:rsidP="00C32821">
      <w:pPr>
        <w:spacing w:line="276" w:lineRule="auto"/>
        <w:ind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трансдисциплінарної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моделі команди є водночас процесом розвитку. На початку цього процесу команда може бути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інтердисциплінарною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, але з розвитком довірливих стосунків між її членами поступово ставати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трансдисциплінарною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. Склад команди з часом може змінюватись з приходом нових членів команди тощо, модель команди може знову повертатися до </w:t>
      </w:r>
      <w:proofErr w:type="spellStart"/>
      <w:r w:rsidRPr="0000440E">
        <w:rPr>
          <w:rFonts w:ascii="Times New Roman" w:hAnsi="Times New Roman" w:cs="Times New Roman"/>
          <w:sz w:val="28"/>
          <w:szCs w:val="28"/>
          <w:lang w:val="uk-UA"/>
        </w:rPr>
        <w:t>інтердисциплінарної</w:t>
      </w:r>
      <w:proofErr w:type="spellEnd"/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і так далі. </w:t>
      </w:r>
    </w:p>
    <w:p w:rsidR="00C32821" w:rsidRPr="0000440E" w:rsidRDefault="003F0FC4" w:rsidP="00C32821">
      <w:pPr>
        <w:spacing w:line="276" w:lineRule="auto"/>
        <w:ind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пам’ятати, що в усіх випадках</w:t>
      </w:r>
      <w:r w:rsidR="00C32821"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ключовим чинником успішної командної роботи є співпраця між членами команди, яка дає можливість ділитися результатами спостережень чи іншою інформацією щодо процесу навчання дитини та її поведінки, яку можна спостерігати у різний час та у різних місцях. Співпраця між членами команди дає можливість розробити індивідуальну програму навчання і розвитку дитини, яка відображає сильні сторони дитини, її інтереси, потреби, наявний рівень знань і навичок; визначити пріоритети в рамках навчальної програми, а також здійснювати систематичний моніторинг успішності дитини.</w:t>
      </w:r>
    </w:p>
    <w:p w:rsidR="00C32821" w:rsidRPr="0000440E" w:rsidRDefault="00C32821" w:rsidP="00C32821">
      <w:pPr>
        <w:spacing w:line="276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>Як стверджує багато науковців,</w:t>
      </w: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зусилля, спрямовані на покращення та розвиток інклюзивної освіти, мають стати невід’ємною частиною загальної </w:t>
      </w: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підтримки шкіл для підвищення ефективності їхньої роботи</w:t>
      </w:r>
      <w:r w:rsidR="00D34214" w:rsidRPr="00D34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[2, 34-44].</w:t>
      </w:r>
      <w:r w:rsidRPr="000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 цієї підтримки має полягати у зниженні рівня виключення з навчального процесу окремих категорій учнів і забезпечення всім учням успішного досвіду навчання. Це передбачає зміни у підходах надання допоміжних послуг з боку фахівців шляхом перенесення акцентів у роботі з надання підтримки окремим учням з особливими потребами на спільноту фахівців, котрі працюють у школі. Іншими словами, надання послуг фахівцями окремим учням для подолання наявних у них труднощів у навчанні, що часто є наслідком невідповідної педагогічної практики, опосередковано веде до ізоляції цих учнів. Натомість, надання підтримки усій школі для виявлення та усунення перепон, що перешкоджають максимальній участі усіх дітей у житті школи, у тому числі дітей з особливими потребами, сприяє покращенню навчальних результатів цих учнів, а також покращенню шкільної атмосфери в цілому.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Важливо також відзначити, що хоча школи можуть стикатися з однаковими викликами, шляхи їх вирішення, вочевидь, будуть різними</w:t>
      </w:r>
      <w:r w:rsidRPr="0000440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і при цьому інклюзивна практика в різних контекстах також може виглядати по-різному. </w:t>
      </w:r>
    </w:p>
    <w:p w:rsidR="00C32821" w:rsidRPr="0000440E" w:rsidRDefault="00C32821" w:rsidP="00C3282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Спільне вирішення проблем потребує обов’язкового активного залучення всіх зацікавлених сторін. Зрештою, саме ефективність роботи вчителів і директорів шкіл, які забезпечують покращення якості навчально-виховного процесу з точки зору залучення всіх учнів та покращення результатів їхнього навчання, є передумовою створення ефективної інклюзивної освітньої практики. Таким чином, для того, щоб надати школам повноваження з управління змінами у своєму середовищі, необхідно передати якомога більше можливостей для прийняття рішень на рівні школи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будь-яка систематична підтримка зусиль щодо покращення інклюзивної освіти має бути спрямована на підвищення професійних знань учителів і шкільних лідерів. </w:t>
      </w:r>
    </w:p>
    <w:p w:rsidR="00C32821" w:rsidRPr="0000440E" w:rsidRDefault="00C32821" w:rsidP="00C328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На важливості надання підтримки навчальним закладам для забезпечення якісної, інклюзивної освіти наголошується і в останньому звіті Європейської агенції із спеціальних потреб та інклюзивної освіти</w:t>
      </w:r>
      <w:r w:rsidR="005A2132" w:rsidRPr="005A2132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, в якому акцентується велика роль співпраці інклюзивних навчальних закладів з організаціями, які надають різні послуги дітям з особливими потребами та їхнім сім’ям. Адже персонал, який працює безпосередньо із сім’ями та їхніми дітьми, може надати велику допомогу у процесі навчання цих дітей. Надання цих послуг, зокрема медичних, на базі навчальних закладів, може стати ще одним кроком у наближенні до соціальної моделі розуміння інвалідності. Надання послуг на базі навчальних закладів також сприяє покращенню 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спілкування між фахівцями різних сфер.</w:t>
      </w:r>
    </w:p>
    <w:p w:rsidR="00C32821" w:rsidRDefault="00C32821" w:rsidP="00C328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додаткова підтримка передбачає різні види додаткових ресурсів – людські, матеріальні та фінансові ресурси. Існують також різні моделі надання додаткової підтримки – модель фахової підтримки, командна модель і модель загальної підтримки навчальних закладів. Серед</w:t>
      </w:r>
      <w:r w:rsidRPr="0000440E">
        <w:rPr>
          <w:rFonts w:ascii="Times New Roman" w:hAnsi="Times New Roman" w:cs="Times New Roman"/>
          <w:sz w:val="28"/>
          <w:szCs w:val="28"/>
          <w:lang w:val="uk-UA"/>
        </w:rPr>
        <w:t xml:space="preserve"> усіх зазначених моделей забезпечення додаткової підтримки дітям з особливими освітніми потребами, модель загальної підтримки навчальних закладів, як інклюзивних, так і спеціальних, забезпечує найбільш сталі та довгострокові зміни в напрямі створення інклюзивного навчального середовища. У будь-якій моделі, де підтримка надається сім’ям та навчальним закладам, дитина має бути в центрі координації усіх зусиль.</w:t>
      </w:r>
    </w:p>
    <w:p w:rsidR="005A2132" w:rsidRPr="00B53A2F" w:rsidRDefault="005A2132" w:rsidP="00C328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A2F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3F0FC4" w:rsidRDefault="003F0FC4" w:rsidP="005A2132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>Данілавічюте</w:t>
      </w:r>
      <w:proofErr w:type="spellEnd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Pr="003F0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Професійне співробітництво в інклюзивному навчальному закладі: навчально-методичний посібник. – К.: Видавнича група «А.С.К.», 2012. – 192 с. с. 24.  </w:t>
      </w:r>
    </w:p>
    <w:p w:rsidR="00D34214" w:rsidRDefault="00D34214" w:rsidP="005A2132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Booth, T.,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Ainscow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M. (2011). Index for Inclusion: developing learning and participation in the schools.</w:t>
      </w:r>
    </w:p>
    <w:p w:rsidR="003F0FC4" w:rsidRDefault="003F0FC4" w:rsidP="005A213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European Agency f</w:t>
      </w:r>
      <w:r w:rsidRPr="003F0FC4">
        <w:rPr>
          <w:rFonts w:ascii="Times New Roman" w:hAnsi="Times New Roman"/>
          <w:sz w:val="28"/>
          <w:szCs w:val="28"/>
          <w:lang w:val="en-US"/>
        </w:rPr>
        <w:t>or Special Needs and Inclusive Education 2014. Organization of provision to Support Inclusive Education – Summary Report. Odense, Denmark: European Agency for Special Needs and Inclusive Education.</w:t>
      </w:r>
    </w:p>
    <w:p w:rsidR="00F61E3A" w:rsidRDefault="00F61E3A" w:rsidP="005A213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Deppeler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Loreman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T., &amp; Sharma, U. (2005).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Reconceptualising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specialist support services in inclusive classrooms, Australian Journal of Special Education, 29 (2), 117-119.</w:t>
      </w:r>
    </w:p>
    <w:p w:rsidR="00F61E3A" w:rsidRPr="00D34214" w:rsidRDefault="003F0FC4" w:rsidP="005A213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F0FC4">
        <w:rPr>
          <w:rFonts w:ascii="Times New Roman" w:hAnsi="Times New Roman"/>
          <w:sz w:val="28"/>
          <w:szCs w:val="28"/>
          <w:lang w:val="en-US"/>
        </w:rPr>
        <w:t>Lani</w:t>
      </w:r>
      <w:proofErr w:type="spellEnd"/>
      <w:r w:rsidRPr="003F0F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F0FC4">
        <w:rPr>
          <w:rFonts w:ascii="Times New Roman" w:hAnsi="Times New Roman"/>
          <w:sz w:val="28"/>
          <w:szCs w:val="28"/>
          <w:lang w:val="en-US"/>
        </w:rPr>
        <w:t>Florian</w:t>
      </w:r>
      <w:proofErr w:type="spellEnd"/>
      <w:r w:rsidRPr="003F0FC4">
        <w:rPr>
          <w:rFonts w:ascii="Times New Roman" w:hAnsi="Times New Roman"/>
          <w:sz w:val="28"/>
          <w:szCs w:val="28"/>
          <w:lang w:val="en-US"/>
        </w:rPr>
        <w:t>. Special or inclusive education: future trends. © 2008 The Author(s).</w:t>
      </w:r>
    </w:p>
    <w:p w:rsidR="003F0FC4" w:rsidRPr="003F0FC4" w:rsidRDefault="003F0FC4" w:rsidP="005A2132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FC4">
        <w:rPr>
          <w:rFonts w:ascii="Times New Roman" w:hAnsi="Times New Roman"/>
          <w:sz w:val="28"/>
          <w:szCs w:val="28"/>
          <w:lang w:val="en-US"/>
        </w:rPr>
        <w:t xml:space="preserve">Journal compilation ©2008 NASEN. Published by Blackwell publishing, 9600 </w:t>
      </w:r>
      <w:proofErr w:type="spellStart"/>
      <w:r w:rsidRPr="003F0FC4">
        <w:rPr>
          <w:rFonts w:ascii="Times New Roman" w:hAnsi="Times New Roman"/>
          <w:sz w:val="28"/>
          <w:szCs w:val="28"/>
          <w:lang w:val="en-US"/>
        </w:rPr>
        <w:t>Garsington</w:t>
      </w:r>
      <w:proofErr w:type="spellEnd"/>
      <w:r w:rsidRPr="003F0FC4">
        <w:rPr>
          <w:rFonts w:ascii="Times New Roman" w:hAnsi="Times New Roman"/>
          <w:sz w:val="28"/>
          <w:szCs w:val="28"/>
          <w:lang w:val="en-US"/>
        </w:rPr>
        <w:t xml:space="preserve"> Road, Oxford, OX4 2DQ, UK and 350 Main St, </w:t>
      </w:r>
      <w:proofErr w:type="spellStart"/>
      <w:r w:rsidRPr="003F0FC4">
        <w:rPr>
          <w:rFonts w:ascii="Times New Roman" w:hAnsi="Times New Roman"/>
          <w:sz w:val="28"/>
          <w:szCs w:val="28"/>
          <w:lang w:val="en-US"/>
        </w:rPr>
        <w:t>Madlen</w:t>
      </w:r>
      <w:proofErr w:type="spellEnd"/>
      <w:r w:rsidRPr="003F0FC4">
        <w:rPr>
          <w:rFonts w:ascii="Times New Roman" w:hAnsi="Times New Roman"/>
          <w:sz w:val="28"/>
          <w:szCs w:val="28"/>
          <w:lang w:val="en-US"/>
        </w:rPr>
        <w:t>, MA, 02148, USA.</w:t>
      </w:r>
    </w:p>
    <w:p w:rsidR="003F0FC4" w:rsidRPr="00D34214" w:rsidRDefault="003F0FC4" w:rsidP="005A2132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FC4">
        <w:rPr>
          <w:rFonts w:ascii="Times New Roman" w:hAnsi="Times New Roman"/>
          <w:sz w:val="28"/>
          <w:szCs w:val="28"/>
          <w:lang w:val="en-US"/>
        </w:rPr>
        <w:t>Students with Disabilities, Learning Difficulties and Disadvantages. Policies, Statistics and Indicators © OECD 2007.</w:t>
      </w:r>
    </w:p>
    <w:p w:rsidR="003F0FC4" w:rsidRPr="00B00835" w:rsidRDefault="003F0FC4" w:rsidP="003F0FC4">
      <w:pPr>
        <w:pStyle w:val="a4"/>
        <w:rPr>
          <w:lang w:val="en-US"/>
        </w:rPr>
      </w:pPr>
    </w:p>
    <w:p w:rsidR="00B53A2F" w:rsidRPr="00B53A2F" w:rsidRDefault="00B53A2F" w:rsidP="00B53A2F">
      <w:pPr>
        <w:spacing w:line="240" w:lineRule="auto"/>
        <w:ind w:left="170" w:right="8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основные виды и модели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предоставления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дополнительной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поддержки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детям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особыми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образовательными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потребностями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инклюзивного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учебного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учреждения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рамках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командной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модели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описаны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разные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команд.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Раскрыто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модели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общей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поддержки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учебных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учреждений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уловия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создания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благоприятных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условий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участников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процесса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B53A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53A2F" w:rsidRDefault="00B53A2F" w:rsidP="00B53A2F">
      <w:pPr>
        <w:spacing w:line="240" w:lineRule="auto"/>
        <w:ind w:left="170" w:right="85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Ключевые</w:t>
      </w:r>
      <w:proofErr w:type="spellEnd"/>
      <w:r w:rsidRPr="00B53A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инклюзивное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особыми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образовательными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потребностями</w:t>
      </w:r>
      <w:proofErr w:type="spellEnd"/>
      <w:r w:rsidRPr="00B53A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53A2F">
        <w:rPr>
          <w:rFonts w:ascii="Times New Roman" w:hAnsi="Times New Roman" w:cs="Times New Roman"/>
          <w:i/>
          <w:sz w:val="28"/>
          <w:szCs w:val="28"/>
          <w:lang w:val="uk-UA"/>
        </w:rPr>
        <w:t>командна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Pr="00B53A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профессиональное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сотрудничество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53A2F" w:rsidRDefault="00B53A2F" w:rsidP="00B53A2F">
      <w:pPr>
        <w:spacing w:line="240" w:lineRule="auto"/>
        <w:ind w:left="170" w:right="85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Article provides description of the main kinds and models of providing additional support to children with special educational needs in the inclusive schools. </w:t>
      </w:r>
      <w:r w:rsidR="00701BF6">
        <w:rPr>
          <w:rFonts w:ascii="Times New Roman" w:hAnsi="Times New Roman" w:cs="Times New Roman"/>
          <w:i/>
          <w:sz w:val="28"/>
          <w:szCs w:val="28"/>
          <w:lang w:val="en-US"/>
        </w:rPr>
        <w:t>Different kinds of teams are described within the team model. The role of the model of general support to the schools emphasized as a main condition to provide supportive conditions for all participants of the educational process.</w:t>
      </w:r>
    </w:p>
    <w:p w:rsidR="00701BF6" w:rsidRPr="00701BF6" w:rsidRDefault="00701BF6" w:rsidP="00B53A2F">
      <w:pPr>
        <w:spacing w:line="240" w:lineRule="auto"/>
        <w:ind w:left="170" w:right="8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1B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inclusive education, children with special educational needs, team model, professional co-operation.</w:t>
      </w:r>
    </w:p>
    <w:p w:rsidR="003F0FC4" w:rsidRPr="00B53A2F" w:rsidRDefault="003F0FC4" w:rsidP="003F0FC4">
      <w:pPr>
        <w:pStyle w:val="a4"/>
        <w:rPr>
          <w:rFonts w:ascii="Times New Roman" w:hAnsi="Times New Roman"/>
          <w:color w:val="0070C0"/>
          <w:lang w:val="uk-UA"/>
        </w:rPr>
      </w:pPr>
    </w:p>
    <w:p w:rsidR="00C32821" w:rsidRPr="00B53A2F" w:rsidRDefault="00C32821" w:rsidP="003F0F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59C0" w:rsidRPr="003F0FC4" w:rsidRDefault="003859C0">
      <w:pPr>
        <w:rPr>
          <w:lang w:val="uk-UA"/>
        </w:rPr>
      </w:pPr>
    </w:p>
    <w:sectPr w:rsidR="003859C0" w:rsidRPr="003F0FC4" w:rsidSect="00231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69" w:rsidRDefault="00786869" w:rsidP="002315C6">
      <w:pPr>
        <w:spacing w:after="0" w:line="240" w:lineRule="auto"/>
      </w:pPr>
      <w:r>
        <w:separator/>
      </w:r>
    </w:p>
  </w:endnote>
  <w:endnote w:type="continuationSeparator" w:id="0">
    <w:p w:rsidR="00786869" w:rsidRDefault="00786869" w:rsidP="0023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69" w:rsidRDefault="00786869" w:rsidP="002315C6">
      <w:pPr>
        <w:spacing w:after="0" w:line="240" w:lineRule="auto"/>
      </w:pPr>
      <w:r>
        <w:separator/>
      </w:r>
    </w:p>
  </w:footnote>
  <w:footnote w:type="continuationSeparator" w:id="0">
    <w:p w:rsidR="00786869" w:rsidRDefault="00786869" w:rsidP="0023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54D"/>
    <w:multiLevelType w:val="hybridMultilevel"/>
    <w:tmpl w:val="439C0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330"/>
    <w:multiLevelType w:val="hybridMultilevel"/>
    <w:tmpl w:val="B318420E"/>
    <w:lvl w:ilvl="0" w:tplc="0422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24CE2A4A"/>
    <w:multiLevelType w:val="hybridMultilevel"/>
    <w:tmpl w:val="04AA540A"/>
    <w:lvl w:ilvl="0" w:tplc="95B6F92A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31327BA7"/>
    <w:multiLevelType w:val="hybridMultilevel"/>
    <w:tmpl w:val="14F2DAB2"/>
    <w:lvl w:ilvl="0" w:tplc="CCEE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B2B5B"/>
    <w:multiLevelType w:val="hybridMultilevel"/>
    <w:tmpl w:val="145C51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C6"/>
    <w:rsid w:val="000117F9"/>
    <w:rsid w:val="00187D88"/>
    <w:rsid w:val="002315C6"/>
    <w:rsid w:val="003859C0"/>
    <w:rsid w:val="003F0FC4"/>
    <w:rsid w:val="00421AC8"/>
    <w:rsid w:val="005A2132"/>
    <w:rsid w:val="00701BF6"/>
    <w:rsid w:val="00786869"/>
    <w:rsid w:val="0088566B"/>
    <w:rsid w:val="00893E92"/>
    <w:rsid w:val="00B53A2F"/>
    <w:rsid w:val="00C32821"/>
    <w:rsid w:val="00D34214"/>
    <w:rsid w:val="00F61E3A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7D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7D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7D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7D8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7D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87D8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D8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7D88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187D88"/>
    <w:rPr>
      <w:rFonts w:ascii="Cambria" w:hAnsi="Cambria"/>
      <w:b/>
      <w:bCs/>
      <w:i/>
      <w:i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87D88"/>
    <w:rPr>
      <w:rFonts w:ascii="Cambria" w:hAnsi="Cambria"/>
      <w:i/>
      <w:iCs/>
      <w:color w:val="243F6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87D8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sid w:val="00187D88"/>
    <w:rPr>
      <w:rFonts w:ascii="Cambria" w:eastAsia="Times New Roman" w:hAnsi="Cambria"/>
      <w:lang w:val="uk-UA" w:eastAsia="en-US"/>
    </w:rPr>
  </w:style>
  <w:style w:type="paragraph" w:styleId="a3">
    <w:name w:val="List Paragraph"/>
    <w:basedOn w:val="a"/>
    <w:uiPriority w:val="34"/>
    <w:qFormat/>
    <w:rsid w:val="00187D88"/>
    <w:pPr>
      <w:ind w:left="720"/>
      <w:contextualSpacing/>
    </w:pPr>
  </w:style>
  <w:style w:type="paragraph" w:styleId="a4">
    <w:name w:val="footnote text"/>
    <w:basedOn w:val="a"/>
    <w:link w:val="a5"/>
    <w:unhideWhenUsed/>
    <w:rsid w:val="00231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2315C6"/>
    <w:rPr>
      <w:lang w:eastAsia="en-US"/>
    </w:rPr>
  </w:style>
  <w:style w:type="character" w:styleId="a6">
    <w:name w:val="footnote reference"/>
    <w:basedOn w:val="a0"/>
    <w:unhideWhenUsed/>
    <w:rsid w:val="002315C6"/>
    <w:rPr>
      <w:vertAlign w:val="superscript"/>
    </w:rPr>
  </w:style>
  <w:style w:type="table" w:styleId="a7">
    <w:name w:val="Table Grid"/>
    <w:basedOn w:val="a1"/>
    <w:uiPriority w:val="39"/>
    <w:rsid w:val="002315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FC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</cp:lastModifiedBy>
  <cp:revision>3</cp:revision>
  <cp:lastPrinted>2015-04-10T08:06:00Z</cp:lastPrinted>
  <dcterms:created xsi:type="dcterms:W3CDTF">2015-04-10T13:17:00Z</dcterms:created>
  <dcterms:modified xsi:type="dcterms:W3CDTF">2015-04-16T10:04:00Z</dcterms:modified>
</cp:coreProperties>
</file>